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B151912"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13A32" w:rsidRPr="00513A32">
        <w:t xml:space="preserve"> </w:t>
      </w:r>
      <w:r w:rsidR="00513A32" w:rsidRPr="00513A32">
        <w:rPr>
          <w:sz w:val="32"/>
          <w:szCs w:val="32"/>
        </w:rPr>
        <w:t>1806240</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E5392AF" w:rsidR="00E90E49" w:rsidRPr="00513A32" w:rsidRDefault="00E90E49" w:rsidP="00311702">
      <w:pPr>
        <w:pStyle w:val="3GPPHeader"/>
        <w:rPr>
          <w:sz w:val="22"/>
          <w:lang w:val="sv-FI"/>
        </w:rPr>
      </w:pPr>
      <w:r w:rsidRPr="00513A32">
        <w:rPr>
          <w:sz w:val="22"/>
          <w:lang w:val="sv-FI"/>
        </w:rPr>
        <w:t>Agenda Item:</w:t>
      </w:r>
      <w:r w:rsidRPr="00513A32">
        <w:rPr>
          <w:sz w:val="22"/>
          <w:lang w:val="sv-FI"/>
        </w:rPr>
        <w:tab/>
      </w:r>
      <w:r w:rsidR="00CB6DD1" w:rsidRPr="00513A32">
        <w:rPr>
          <w:sz w:val="22"/>
          <w:lang w:val="sv-FI"/>
        </w:rPr>
        <w:t>7.1.</w:t>
      </w:r>
      <w:r w:rsidR="005B0556" w:rsidRPr="00513A32">
        <w:rPr>
          <w:sz w:val="22"/>
          <w:lang w:val="sv-FI"/>
        </w:rPr>
        <w:t>8</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626FC921" w:rsidR="00E90E49" w:rsidRPr="00CE0424" w:rsidRDefault="003D3C45" w:rsidP="00311702">
      <w:pPr>
        <w:pStyle w:val="3GPPHeader"/>
        <w:rPr>
          <w:sz w:val="22"/>
        </w:rPr>
      </w:pPr>
      <w:r>
        <w:rPr>
          <w:sz w:val="22"/>
        </w:rPr>
        <w:t>Title:</w:t>
      </w:r>
      <w:r w:rsidR="00E90E49" w:rsidRPr="00CE0424">
        <w:rPr>
          <w:sz w:val="22"/>
        </w:rPr>
        <w:tab/>
      </w:r>
      <w:r w:rsidR="00CB6DD1">
        <w:rPr>
          <w:sz w:val="22"/>
        </w:rPr>
        <w:t xml:space="preserve">UE Feature </w:t>
      </w:r>
      <w:r w:rsidR="00276BD8">
        <w:rPr>
          <w:sz w:val="22"/>
        </w:rPr>
        <w:t xml:space="preserve">Band Combination </w:t>
      </w:r>
      <w:r w:rsidR="00CB6DD1">
        <w:rPr>
          <w:sz w:val="22"/>
        </w:rPr>
        <w:t>Signalling Granularity</w:t>
      </w:r>
    </w:p>
    <w:p w14:paraId="58D4CB54" w14:textId="6AC821F3" w:rsidR="00E90E49" w:rsidRPr="00CE0424" w:rsidRDefault="00E90E49" w:rsidP="00D546FF">
      <w:pPr>
        <w:pStyle w:val="3GPPHeader"/>
        <w:rPr>
          <w:sz w:val="22"/>
        </w:rPr>
      </w:pPr>
      <w:r w:rsidRPr="00CE0424">
        <w:rPr>
          <w:sz w:val="22"/>
        </w:rPr>
        <w:t>Document for:</w:t>
      </w:r>
      <w:r w:rsidRPr="00CE0424">
        <w:rPr>
          <w:sz w:val="22"/>
        </w:rPr>
        <w:tab/>
      </w:r>
      <w:r w:rsidRPr="00CB6DD1">
        <w:rPr>
          <w:sz w:val="22"/>
        </w:rPr>
        <w:t>Decision</w:t>
      </w:r>
    </w:p>
    <w:p w14:paraId="09FE4FCF" w14:textId="77777777" w:rsidR="00E90E49" w:rsidRPr="00CE0424" w:rsidRDefault="00230D18" w:rsidP="00CE0424">
      <w:pPr>
        <w:pStyle w:val="Heading1"/>
      </w:pPr>
      <w:r>
        <w:t>1</w:t>
      </w:r>
      <w:r>
        <w:tab/>
      </w:r>
      <w:r w:rsidR="00E90E49" w:rsidRPr="00CE0424">
        <w:t>Introduction</w:t>
      </w:r>
    </w:p>
    <w:p w14:paraId="1D34B992" w14:textId="5B6E388C" w:rsidR="004F35D8" w:rsidRDefault="004F35D8" w:rsidP="005E55A9">
      <w:pPr>
        <w:pStyle w:val="BodyText"/>
      </w:pPr>
      <w:r>
        <w:t xml:space="preserve">RAN2 asked </w:t>
      </w:r>
      <w:r w:rsidR="00AD0967" w:rsidRPr="008219AE">
        <w:t>RAN1</w:t>
      </w:r>
      <w:r w:rsidR="0014613D">
        <w:t xml:space="preserve"> </w:t>
      </w:r>
      <w:r>
        <w:t>in</w:t>
      </w:r>
      <w:r w:rsidR="001F523F">
        <w:t xml:space="preserve"> </w:t>
      </w:r>
      <w:r w:rsidR="001F523F">
        <w:fldChar w:fldCharType="begin"/>
      </w:r>
      <w:r w:rsidR="001F523F">
        <w:instrText xml:space="preserve"> REF _Ref513460350 \r \h </w:instrText>
      </w:r>
      <w:r w:rsidR="005E55A9">
        <w:instrText xml:space="preserve"> \* MERGEFORMAT </w:instrText>
      </w:r>
      <w:r w:rsidR="001F523F">
        <w:fldChar w:fldCharType="separate"/>
      </w:r>
      <w:r w:rsidR="001F523F">
        <w:t>[1]</w:t>
      </w:r>
      <w:r w:rsidR="001F523F">
        <w:fldChar w:fldCharType="end"/>
      </w:r>
      <w:r w:rsidR="008219AE">
        <w:t xml:space="preserve"> </w:t>
      </w:r>
      <w:r w:rsidR="008219AE" w:rsidRPr="008219AE">
        <w:t xml:space="preserve">to provide </w:t>
      </w:r>
      <w:r w:rsidR="0014613D">
        <w:t xml:space="preserve">our </w:t>
      </w:r>
      <w:r w:rsidR="008219AE" w:rsidRPr="008219AE">
        <w:t xml:space="preserve">feedback on the </w:t>
      </w:r>
      <w:r w:rsidR="006C575B">
        <w:t xml:space="preserve">band combination </w:t>
      </w:r>
      <w:r w:rsidR="008219AE" w:rsidRPr="008219AE">
        <w:t xml:space="preserve">signalling granularity for the </w:t>
      </w:r>
      <w:r w:rsidR="00AD0967">
        <w:t xml:space="preserve">UE </w:t>
      </w:r>
      <w:r w:rsidR="008219AE" w:rsidRPr="008219AE">
        <w:t xml:space="preserve">features listed in the </w:t>
      </w:r>
      <w:r w:rsidR="00AD0967">
        <w:t xml:space="preserve">LS text </w:t>
      </w:r>
      <w:r w:rsidR="008219AE" w:rsidRPr="008219AE">
        <w:t xml:space="preserve">and </w:t>
      </w:r>
      <w:r w:rsidR="00AD0967">
        <w:t xml:space="preserve">an </w:t>
      </w:r>
      <w:r w:rsidR="008219AE" w:rsidRPr="008219AE">
        <w:t>attached document</w:t>
      </w:r>
      <w:r w:rsidR="00AD0967">
        <w:t xml:space="preserve"> to </w:t>
      </w:r>
      <w:r w:rsidR="00AD0967">
        <w:fldChar w:fldCharType="begin"/>
      </w:r>
      <w:r w:rsidR="00AD0967">
        <w:instrText xml:space="preserve"> REF _Ref513460350 \r \h </w:instrText>
      </w:r>
      <w:r w:rsidR="005E55A9">
        <w:instrText xml:space="preserve"> \* MERGEFORMAT </w:instrText>
      </w:r>
      <w:r w:rsidR="00AD0967">
        <w:fldChar w:fldCharType="separate"/>
      </w:r>
      <w:r w:rsidR="00AD0967">
        <w:t>[1]</w:t>
      </w:r>
      <w:r w:rsidR="00AD0967">
        <w:fldChar w:fldCharType="end"/>
      </w:r>
      <w:r w:rsidR="008219AE">
        <w:t>.</w:t>
      </w:r>
      <w:r w:rsidR="00AD0967">
        <w:t xml:space="preserve">  RAN1 is asked to select the granularity according to the following definitions:</w:t>
      </w:r>
    </w:p>
    <w:p w14:paraId="7F5CFA70" w14:textId="4AB1AC88" w:rsidR="00165243" w:rsidRDefault="00165243" w:rsidP="005E55A9">
      <w:pPr>
        <w:pStyle w:val="BodyText"/>
        <w:ind w:left="567"/>
      </w:pPr>
      <w:r>
        <w:t>1) Per UE: A feature is supported irrespective of band combinations supported by a UE. The parameter is listed at once outside the band combination.</w:t>
      </w:r>
    </w:p>
    <w:p w14:paraId="2D009785" w14:textId="77777777" w:rsidR="00165243" w:rsidRDefault="00165243" w:rsidP="005E55A9">
      <w:pPr>
        <w:pStyle w:val="BodyText"/>
        <w:ind w:left="567"/>
      </w:pPr>
      <w:r>
        <w:t>2) Per band: A feature is supported per band in case of non-CA. The parameter is listed per band outside the band combination.</w:t>
      </w:r>
    </w:p>
    <w:p w14:paraId="0AC19479" w14:textId="77777777" w:rsidR="00165243" w:rsidRDefault="00165243" w:rsidP="005E55A9">
      <w:pPr>
        <w:pStyle w:val="BodyText"/>
        <w:ind w:left="567"/>
      </w:pPr>
      <w:r>
        <w:t>3) Per band combination: A feature is supported per band combination irrespective of the bands inside the band combination. The parameter is listed per band combination.</w:t>
      </w:r>
    </w:p>
    <w:p w14:paraId="3F69A08D" w14:textId="77777777" w:rsidR="00165243" w:rsidRDefault="00165243" w:rsidP="005E55A9">
      <w:pPr>
        <w:pStyle w:val="BodyText"/>
        <w:ind w:left="567"/>
      </w:pPr>
      <w:r>
        <w:t>4) Per band per band combination: The parameters that are classified as to be listed per band in a band combination, where if multiple contiguous carriers are present in one band, the same parameter applies to all of these in that band (and hence no need to be signalled for each of these contiguous carriers in that band).</w:t>
      </w:r>
    </w:p>
    <w:p w14:paraId="52411CB6" w14:textId="77777777" w:rsidR="00165243" w:rsidRDefault="00165243" w:rsidP="005E55A9">
      <w:pPr>
        <w:pStyle w:val="BodyText"/>
        <w:ind w:left="567"/>
      </w:pPr>
      <w:r>
        <w:t>5) Per CC per band per band combination: The parameters that are classified as to be listed per each component carrier in the contiguous carriers for a band, and hence they are per-CC per band per band combination.</w:t>
      </w:r>
    </w:p>
    <w:p w14:paraId="7C48702B" w14:textId="61149FF5" w:rsidR="00477768" w:rsidRPr="00CE0424" w:rsidRDefault="00AD0967" w:rsidP="00CE0424">
      <w:pPr>
        <w:pStyle w:val="BodyText"/>
      </w:pPr>
      <w:r>
        <w:t>In this contribution, we provide our views on the signalling granularity for these features.</w:t>
      </w:r>
    </w:p>
    <w:p w14:paraId="71C3A24B" w14:textId="1F44BA99" w:rsidR="00F63950" w:rsidRDefault="00230D18" w:rsidP="003377E6">
      <w:pPr>
        <w:pStyle w:val="Heading1"/>
      </w:pPr>
      <w:bookmarkStart w:id="1" w:name="_Ref178064866"/>
      <w:r>
        <w:t>2</w:t>
      </w:r>
      <w:r>
        <w:tab/>
      </w:r>
      <w:r w:rsidR="004000E8" w:rsidRPr="00CE0424">
        <w:t>Discussion</w:t>
      </w:r>
      <w:bookmarkEnd w:id="1"/>
    </w:p>
    <w:p w14:paraId="2AB74365" w14:textId="7FD527E1" w:rsidR="003377E6" w:rsidRPr="003377E6" w:rsidRDefault="003377E6" w:rsidP="003377E6">
      <w:r>
        <w:fldChar w:fldCharType="begin"/>
      </w:r>
      <w:r>
        <w:instrText xml:space="preserve"> REF _Ref513462707 \h </w:instrText>
      </w:r>
      <w:r>
        <w:fldChar w:fldCharType="separate"/>
      </w:r>
      <w:r>
        <w:t xml:space="preserve">Table </w:t>
      </w:r>
      <w:r>
        <w:rPr>
          <w:noProof/>
        </w:rPr>
        <w:t>1</w:t>
      </w:r>
      <w:r>
        <w:fldChar w:fldCharType="end"/>
      </w:r>
      <w:r>
        <w:t xml:space="preserve"> discusses the features listed in the LS text.</w:t>
      </w:r>
    </w:p>
    <w:p w14:paraId="69DF93B8" w14:textId="44CC90DD" w:rsidR="003E7681" w:rsidRDefault="003E7681" w:rsidP="003E7681">
      <w:pPr>
        <w:pStyle w:val="Caption"/>
        <w:keepNext/>
        <w:jc w:val="center"/>
      </w:pPr>
      <w:bookmarkStart w:id="2" w:name="_Ref513462707"/>
      <w:r>
        <w:t xml:space="preserve">Table </w:t>
      </w:r>
      <w:fldSimple w:instr=" SEQ Table \* ARABIC ">
        <w:r>
          <w:rPr>
            <w:noProof/>
          </w:rPr>
          <w:t>1</w:t>
        </w:r>
      </w:fldSimple>
      <w:bookmarkEnd w:id="2"/>
      <w:r>
        <w:t>: UE features from LS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3043"/>
        <w:gridCol w:w="1857"/>
        <w:gridCol w:w="1743"/>
        <w:gridCol w:w="2006"/>
      </w:tblGrid>
      <w:tr w:rsidR="00B70F67" w:rsidRPr="00C81E1C" w14:paraId="097D2729" w14:textId="77777777" w:rsidTr="003E7681">
        <w:tc>
          <w:tcPr>
            <w:tcW w:w="867" w:type="dxa"/>
            <w:shd w:val="clear" w:color="auto" w:fill="auto"/>
          </w:tcPr>
          <w:p w14:paraId="0D85D22E" w14:textId="77777777" w:rsidR="00B70F67" w:rsidRPr="00B91695" w:rsidRDefault="00B70F67" w:rsidP="001D4893">
            <w:pPr>
              <w:pStyle w:val="Header"/>
              <w:rPr>
                <w:rFonts w:cs="Arial"/>
                <w:szCs w:val="18"/>
              </w:rPr>
            </w:pPr>
            <w:r w:rsidRPr="00B91695">
              <w:rPr>
                <w:rFonts w:cs="Arial" w:hint="eastAsia"/>
                <w:szCs w:val="18"/>
              </w:rPr>
              <w:t xml:space="preserve"># </w:t>
            </w:r>
            <w:r w:rsidRPr="00B91695">
              <w:rPr>
                <w:rFonts w:cs="Arial"/>
                <w:szCs w:val="18"/>
              </w:rPr>
              <w:t xml:space="preserve"> (in L1 feature list)</w:t>
            </w:r>
          </w:p>
        </w:tc>
        <w:tc>
          <w:tcPr>
            <w:tcW w:w="3043" w:type="dxa"/>
            <w:shd w:val="clear" w:color="auto" w:fill="auto"/>
          </w:tcPr>
          <w:p w14:paraId="61DCDD17" w14:textId="77777777" w:rsidR="00B70F67" w:rsidRPr="00B91695" w:rsidRDefault="00B70F67" w:rsidP="001D4893">
            <w:pPr>
              <w:pStyle w:val="Header"/>
              <w:rPr>
                <w:rFonts w:cs="Arial"/>
                <w:szCs w:val="18"/>
              </w:rPr>
            </w:pPr>
            <w:r w:rsidRPr="00B91695">
              <w:rPr>
                <w:rFonts w:cs="Arial"/>
                <w:szCs w:val="18"/>
              </w:rPr>
              <w:t>F</w:t>
            </w:r>
            <w:r w:rsidRPr="00B91695">
              <w:rPr>
                <w:rFonts w:cs="Arial" w:hint="eastAsia"/>
                <w:szCs w:val="18"/>
              </w:rPr>
              <w:t>eature (defined in 36.331)</w:t>
            </w:r>
          </w:p>
        </w:tc>
        <w:tc>
          <w:tcPr>
            <w:tcW w:w="1857" w:type="dxa"/>
            <w:shd w:val="clear" w:color="auto" w:fill="CCECFF"/>
          </w:tcPr>
          <w:p w14:paraId="711AA5E7" w14:textId="70CC8C99" w:rsidR="00B70F67" w:rsidRPr="006C575B" w:rsidRDefault="00B70F67" w:rsidP="001D4893">
            <w:pPr>
              <w:pStyle w:val="Header"/>
              <w:rPr>
                <w:rFonts w:cs="Arial"/>
                <w:b w:val="0"/>
                <w:szCs w:val="18"/>
              </w:rPr>
            </w:pPr>
            <w:r w:rsidRPr="00B91695">
              <w:rPr>
                <w:rFonts w:cs="Arial"/>
                <w:szCs w:val="18"/>
              </w:rPr>
              <w:t xml:space="preserve">Proposed </w:t>
            </w:r>
            <w:r w:rsidRPr="00B91695">
              <w:rPr>
                <w:rFonts w:cs="Arial" w:hint="eastAsia"/>
                <w:szCs w:val="18"/>
              </w:rPr>
              <w:t>Signalling granularity</w:t>
            </w:r>
            <w:r w:rsidRPr="006C575B">
              <w:rPr>
                <w:rFonts w:cs="Arial" w:hint="eastAsia"/>
                <w:b w:val="0"/>
                <w:szCs w:val="18"/>
              </w:rPr>
              <w:t>:</w:t>
            </w:r>
          </w:p>
          <w:p w14:paraId="265B7400" w14:textId="77777777" w:rsidR="00B70F67" w:rsidRPr="006C575B" w:rsidRDefault="00B70F67" w:rsidP="001D4893">
            <w:pPr>
              <w:pStyle w:val="Header"/>
              <w:rPr>
                <w:rFonts w:cs="Arial"/>
                <w:b w:val="0"/>
                <w:szCs w:val="18"/>
              </w:rPr>
            </w:pPr>
            <w:r w:rsidRPr="006C575B">
              <w:rPr>
                <w:rFonts w:cs="Arial"/>
                <w:b w:val="0"/>
                <w:szCs w:val="18"/>
              </w:rPr>
              <w:t xml:space="preserve">1) </w:t>
            </w:r>
            <w:r w:rsidRPr="006C575B">
              <w:rPr>
                <w:rFonts w:cs="Arial" w:hint="eastAsia"/>
                <w:b w:val="0"/>
                <w:szCs w:val="18"/>
              </w:rPr>
              <w:t>per UE</w:t>
            </w:r>
          </w:p>
          <w:p w14:paraId="1D7DD8D4" w14:textId="77777777" w:rsidR="00B70F67" w:rsidRPr="006C575B" w:rsidRDefault="00B70F67" w:rsidP="001D4893">
            <w:pPr>
              <w:pStyle w:val="Header"/>
              <w:rPr>
                <w:rFonts w:cs="Arial"/>
                <w:b w:val="0"/>
                <w:szCs w:val="18"/>
              </w:rPr>
            </w:pPr>
            <w:r w:rsidRPr="006C575B">
              <w:rPr>
                <w:rFonts w:cs="Arial"/>
                <w:b w:val="0"/>
                <w:szCs w:val="18"/>
              </w:rPr>
              <w:t>2) per band outside band comb.</w:t>
            </w:r>
          </w:p>
          <w:p w14:paraId="7FF3F2A9" w14:textId="77777777" w:rsidR="00B70F67" w:rsidRPr="006C575B" w:rsidRDefault="00B70F67" w:rsidP="001D4893">
            <w:pPr>
              <w:pStyle w:val="Header"/>
              <w:rPr>
                <w:rFonts w:cs="Arial"/>
                <w:b w:val="0"/>
                <w:szCs w:val="18"/>
              </w:rPr>
            </w:pPr>
            <w:r w:rsidRPr="006C575B">
              <w:rPr>
                <w:rFonts w:cs="Arial"/>
                <w:b w:val="0"/>
                <w:szCs w:val="18"/>
              </w:rPr>
              <w:t xml:space="preserve">3) </w:t>
            </w:r>
            <w:r w:rsidRPr="006C575B">
              <w:rPr>
                <w:rFonts w:cs="Arial" w:hint="eastAsia"/>
                <w:b w:val="0"/>
                <w:szCs w:val="18"/>
              </w:rPr>
              <w:t>per band comb.</w:t>
            </w:r>
          </w:p>
          <w:p w14:paraId="4CB13FB2" w14:textId="77777777" w:rsidR="00B70F67" w:rsidRPr="006C575B" w:rsidRDefault="00B70F67" w:rsidP="001D4893">
            <w:pPr>
              <w:pStyle w:val="Header"/>
              <w:rPr>
                <w:rFonts w:cs="Arial"/>
                <w:b w:val="0"/>
                <w:szCs w:val="18"/>
              </w:rPr>
            </w:pPr>
            <w:r w:rsidRPr="006C575B">
              <w:rPr>
                <w:rFonts w:cs="Arial"/>
                <w:b w:val="0"/>
                <w:szCs w:val="18"/>
              </w:rPr>
              <w:t xml:space="preserve">4) </w:t>
            </w:r>
            <w:r w:rsidRPr="006C575B">
              <w:rPr>
                <w:rFonts w:cs="Arial" w:hint="eastAsia"/>
                <w:b w:val="0"/>
                <w:szCs w:val="18"/>
              </w:rPr>
              <w:t>per band per band comb</w:t>
            </w:r>
            <w:r w:rsidRPr="006C575B">
              <w:rPr>
                <w:rFonts w:cs="Arial"/>
                <w:b w:val="0"/>
                <w:szCs w:val="18"/>
              </w:rPr>
              <w:t>.</w:t>
            </w:r>
          </w:p>
          <w:p w14:paraId="46E564B5" w14:textId="77777777" w:rsidR="00B70F67" w:rsidRPr="006C575B" w:rsidRDefault="00B70F67" w:rsidP="001D4893">
            <w:pPr>
              <w:pStyle w:val="Header"/>
              <w:rPr>
                <w:rFonts w:cs="Arial"/>
                <w:b w:val="0"/>
                <w:szCs w:val="18"/>
              </w:rPr>
            </w:pPr>
            <w:r w:rsidRPr="006C575B">
              <w:rPr>
                <w:rFonts w:cs="Arial"/>
                <w:b w:val="0"/>
                <w:szCs w:val="18"/>
              </w:rPr>
              <w:t xml:space="preserve">5) per CC </w:t>
            </w:r>
            <w:r w:rsidRPr="006C575B">
              <w:rPr>
                <w:rFonts w:cs="Arial" w:hint="eastAsia"/>
                <w:b w:val="0"/>
                <w:szCs w:val="18"/>
              </w:rPr>
              <w:t xml:space="preserve">per </w:t>
            </w:r>
            <w:r w:rsidRPr="006C575B">
              <w:rPr>
                <w:rFonts w:cs="Arial"/>
                <w:b w:val="0"/>
                <w:szCs w:val="18"/>
              </w:rPr>
              <w:t>band per band comb.</w:t>
            </w:r>
          </w:p>
        </w:tc>
        <w:tc>
          <w:tcPr>
            <w:tcW w:w="1743" w:type="dxa"/>
          </w:tcPr>
          <w:p w14:paraId="40C034CD" w14:textId="027CAF5D" w:rsidR="00B70F67" w:rsidRPr="00C81E1C" w:rsidRDefault="00B70F67" w:rsidP="001D4893">
            <w:pPr>
              <w:pStyle w:val="Header"/>
              <w:rPr>
                <w:rFonts w:cs="Arial"/>
                <w:szCs w:val="18"/>
              </w:rPr>
            </w:pPr>
            <w:r>
              <w:rPr>
                <w:rFonts w:cs="Arial"/>
                <w:szCs w:val="18"/>
              </w:rPr>
              <w:t>Ericsson Comments</w:t>
            </w:r>
          </w:p>
        </w:tc>
        <w:tc>
          <w:tcPr>
            <w:tcW w:w="2006" w:type="dxa"/>
            <w:shd w:val="clear" w:color="auto" w:fill="auto"/>
          </w:tcPr>
          <w:p w14:paraId="695553CF" w14:textId="11BAA7B3" w:rsidR="00B70F67" w:rsidRPr="006C575B" w:rsidRDefault="00B70F67" w:rsidP="001D4893">
            <w:pPr>
              <w:pStyle w:val="Header"/>
              <w:rPr>
                <w:rFonts w:cs="Arial"/>
                <w:szCs w:val="18"/>
              </w:rPr>
            </w:pPr>
            <w:r w:rsidRPr="006C575B">
              <w:rPr>
                <w:rFonts w:cs="Arial" w:hint="eastAsia"/>
                <w:szCs w:val="18"/>
              </w:rPr>
              <w:t>RAN2 comment</w:t>
            </w:r>
            <w:r w:rsidRPr="006C575B">
              <w:rPr>
                <w:rFonts w:cs="Arial"/>
                <w:szCs w:val="18"/>
              </w:rPr>
              <w:t>s</w:t>
            </w:r>
          </w:p>
        </w:tc>
      </w:tr>
      <w:tr w:rsidR="00B70F67" w:rsidRPr="00C81E1C" w14:paraId="1BE568E9" w14:textId="77777777" w:rsidTr="003E7681">
        <w:tc>
          <w:tcPr>
            <w:tcW w:w="867" w:type="dxa"/>
            <w:shd w:val="clear" w:color="auto" w:fill="auto"/>
          </w:tcPr>
          <w:p w14:paraId="21540625" w14:textId="77777777" w:rsidR="00B70F67" w:rsidRPr="00B91695" w:rsidRDefault="00B70F67" w:rsidP="001D4893">
            <w:pPr>
              <w:pStyle w:val="Header"/>
              <w:rPr>
                <w:rFonts w:cs="Arial"/>
                <w:b w:val="0"/>
                <w:szCs w:val="18"/>
              </w:rPr>
            </w:pPr>
            <w:r w:rsidRPr="00B91695">
              <w:rPr>
                <w:rFonts w:cs="Arial" w:hint="eastAsia"/>
                <w:b w:val="0"/>
                <w:szCs w:val="18"/>
              </w:rPr>
              <w:lastRenderedPageBreak/>
              <w:t>1-10</w:t>
            </w:r>
          </w:p>
        </w:tc>
        <w:tc>
          <w:tcPr>
            <w:tcW w:w="3043" w:type="dxa"/>
            <w:shd w:val="clear" w:color="auto" w:fill="auto"/>
          </w:tcPr>
          <w:p w14:paraId="2F7C8066" w14:textId="77777777" w:rsidR="00B70F67" w:rsidRPr="00B91695" w:rsidRDefault="00B70F67" w:rsidP="001D4893">
            <w:pPr>
              <w:pStyle w:val="Header"/>
              <w:rPr>
                <w:rFonts w:cs="Arial"/>
                <w:b w:val="0"/>
                <w:i/>
                <w:szCs w:val="18"/>
              </w:rPr>
            </w:pPr>
            <w:r w:rsidRPr="00B91695">
              <w:rPr>
                <w:rFonts w:cs="Arial"/>
                <w:b w:val="0"/>
                <w:i/>
                <w:szCs w:val="18"/>
              </w:rPr>
              <w:t>scellWithoutSSB</w:t>
            </w:r>
          </w:p>
        </w:tc>
        <w:tc>
          <w:tcPr>
            <w:tcW w:w="1857" w:type="dxa"/>
            <w:shd w:val="clear" w:color="auto" w:fill="CCECFF"/>
          </w:tcPr>
          <w:p w14:paraId="5656A36B" w14:textId="65D53A4B"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79A0DB58" w14:textId="483C352F"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54C81BF5" w14:textId="28B66DD9" w:rsidR="00B70F67" w:rsidRPr="006C575B" w:rsidRDefault="00B70F67" w:rsidP="001D4893">
            <w:pPr>
              <w:pStyle w:val="Header"/>
              <w:rPr>
                <w:rFonts w:cs="Arial"/>
                <w:b w:val="0"/>
                <w:szCs w:val="18"/>
              </w:rPr>
            </w:pPr>
            <w:r w:rsidRPr="006C575B">
              <w:rPr>
                <w:rFonts w:cs="Arial" w:hint="eastAsia"/>
                <w:b w:val="0"/>
                <w:szCs w:val="18"/>
              </w:rPr>
              <w:t>Could be</w:t>
            </w:r>
            <w:r w:rsidRPr="006C575B">
              <w:rPr>
                <w:rFonts w:cs="Arial"/>
                <w:b w:val="0"/>
                <w:szCs w:val="18"/>
              </w:rPr>
              <w:t xml:space="preserve"> per UE as there is no band dependency</w:t>
            </w:r>
          </w:p>
        </w:tc>
      </w:tr>
      <w:tr w:rsidR="00B70F67" w:rsidRPr="00C81E1C" w14:paraId="5840CF86" w14:textId="77777777" w:rsidTr="003E7681">
        <w:tc>
          <w:tcPr>
            <w:tcW w:w="867" w:type="dxa"/>
            <w:shd w:val="clear" w:color="auto" w:fill="auto"/>
          </w:tcPr>
          <w:p w14:paraId="4AF6837E" w14:textId="77777777" w:rsidR="00B70F67" w:rsidRPr="00B91695" w:rsidRDefault="00B70F67" w:rsidP="001D4893">
            <w:pPr>
              <w:pStyle w:val="Header"/>
              <w:rPr>
                <w:rFonts w:cs="Arial"/>
                <w:b w:val="0"/>
                <w:szCs w:val="18"/>
              </w:rPr>
            </w:pPr>
            <w:r w:rsidRPr="00B91695">
              <w:rPr>
                <w:rFonts w:cs="Arial" w:hint="eastAsia"/>
                <w:b w:val="0"/>
                <w:szCs w:val="18"/>
              </w:rPr>
              <w:t>1-11</w:t>
            </w:r>
          </w:p>
        </w:tc>
        <w:tc>
          <w:tcPr>
            <w:tcW w:w="3043" w:type="dxa"/>
            <w:shd w:val="clear" w:color="auto" w:fill="auto"/>
          </w:tcPr>
          <w:p w14:paraId="6E1F523C" w14:textId="77777777" w:rsidR="00B70F67" w:rsidRPr="00B91695" w:rsidRDefault="00B70F67" w:rsidP="001D4893">
            <w:pPr>
              <w:pStyle w:val="Header"/>
              <w:rPr>
                <w:rFonts w:cs="Arial"/>
                <w:b w:val="0"/>
                <w:i/>
                <w:szCs w:val="18"/>
              </w:rPr>
            </w:pPr>
            <w:r w:rsidRPr="00B91695">
              <w:rPr>
                <w:rFonts w:cs="Arial"/>
                <w:b w:val="0"/>
                <w:i/>
                <w:szCs w:val="18"/>
              </w:rPr>
              <w:t>csi-RS-MeasSCellWithoutSSB</w:t>
            </w:r>
          </w:p>
        </w:tc>
        <w:tc>
          <w:tcPr>
            <w:tcW w:w="1857" w:type="dxa"/>
            <w:shd w:val="clear" w:color="auto" w:fill="CCECFF"/>
          </w:tcPr>
          <w:p w14:paraId="42A2C35B" w14:textId="7F0E01FE" w:rsidR="00B70F67" w:rsidRPr="006C575B" w:rsidRDefault="00B70F67" w:rsidP="001D4893">
            <w:pPr>
              <w:pStyle w:val="Header"/>
              <w:jc w:val="center"/>
              <w:rPr>
                <w:rFonts w:cs="Arial"/>
                <w:b w:val="0"/>
                <w:szCs w:val="18"/>
              </w:rPr>
            </w:pPr>
          </w:p>
        </w:tc>
        <w:tc>
          <w:tcPr>
            <w:tcW w:w="1743" w:type="dxa"/>
          </w:tcPr>
          <w:p w14:paraId="7D6CA43F" w14:textId="77777777" w:rsidR="00B70F67" w:rsidRPr="00AB0F66" w:rsidRDefault="00B70F67" w:rsidP="001D4893">
            <w:pPr>
              <w:pStyle w:val="Header"/>
              <w:rPr>
                <w:rFonts w:cs="Arial"/>
                <w:b w:val="0"/>
                <w:szCs w:val="18"/>
              </w:rPr>
            </w:pPr>
          </w:p>
        </w:tc>
        <w:tc>
          <w:tcPr>
            <w:tcW w:w="2006" w:type="dxa"/>
            <w:shd w:val="clear" w:color="auto" w:fill="auto"/>
          </w:tcPr>
          <w:p w14:paraId="792D41C3" w14:textId="2B0BC40B" w:rsidR="00B70F67" w:rsidRPr="006C575B" w:rsidRDefault="00B70F67" w:rsidP="001D4893">
            <w:pPr>
              <w:pStyle w:val="Header"/>
              <w:rPr>
                <w:rFonts w:cs="Arial"/>
                <w:b w:val="0"/>
                <w:szCs w:val="18"/>
              </w:rPr>
            </w:pPr>
            <w:r w:rsidRPr="006C575B">
              <w:rPr>
                <w:rFonts w:cs="Arial" w:hint="eastAsia"/>
                <w:b w:val="0"/>
                <w:szCs w:val="18"/>
              </w:rPr>
              <w:t>Could be</w:t>
            </w:r>
            <w:r w:rsidRPr="006C575B">
              <w:rPr>
                <w:rFonts w:cs="Arial"/>
                <w:b w:val="0"/>
                <w:szCs w:val="18"/>
              </w:rPr>
              <w:t xml:space="preserve"> per UE as there is no band dependency</w:t>
            </w:r>
          </w:p>
        </w:tc>
      </w:tr>
      <w:tr w:rsidR="00B70F67" w:rsidRPr="00C81E1C" w14:paraId="5A4E5433" w14:textId="77777777" w:rsidTr="003E7681">
        <w:tc>
          <w:tcPr>
            <w:tcW w:w="867" w:type="dxa"/>
            <w:shd w:val="clear" w:color="auto" w:fill="auto"/>
          </w:tcPr>
          <w:p w14:paraId="496620EB" w14:textId="77777777" w:rsidR="00B70F67" w:rsidRPr="00B91695" w:rsidRDefault="00B70F67" w:rsidP="001D4893">
            <w:pPr>
              <w:pStyle w:val="Header"/>
              <w:rPr>
                <w:rFonts w:cs="Arial"/>
                <w:b w:val="0"/>
                <w:szCs w:val="18"/>
              </w:rPr>
            </w:pPr>
            <w:r w:rsidRPr="00B91695">
              <w:rPr>
                <w:rFonts w:cs="Arial" w:hint="eastAsia"/>
                <w:b w:val="0"/>
                <w:szCs w:val="18"/>
              </w:rPr>
              <w:t>2-15a</w:t>
            </w:r>
          </w:p>
        </w:tc>
        <w:tc>
          <w:tcPr>
            <w:tcW w:w="3043" w:type="dxa"/>
            <w:shd w:val="clear" w:color="auto" w:fill="auto"/>
          </w:tcPr>
          <w:p w14:paraId="6E09BE05" w14:textId="77777777" w:rsidR="00B70F67" w:rsidRPr="00B91695" w:rsidRDefault="00B70F67" w:rsidP="001D4893">
            <w:pPr>
              <w:pStyle w:val="Header"/>
              <w:rPr>
                <w:rFonts w:cs="Arial"/>
                <w:b w:val="0"/>
                <w:i/>
                <w:szCs w:val="18"/>
              </w:rPr>
            </w:pPr>
            <w:r w:rsidRPr="00B91695">
              <w:rPr>
                <w:rFonts w:cs="Arial"/>
                <w:b w:val="0"/>
                <w:i/>
                <w:szCs w:val="18"/>
              </w:rPr>
              <w:t>srs-AssocCSI-RS</w:t>
            </w:r>
          </w:p>
        </w:tc>
        <w:tc>
          <w:tcPr>
            <w:tcW w:w="1857" w:type="dxa"/>
            <w:shd w:val="clear" w:color="auto" w:fill="CCECFF"/>
          </w:tcPr>
          <w:p w14:paraId="06CBC02E" w14:textId="37D5729E" w:rsidR="00B70F67" w:rsidRPr="006C575B" w:rsidRDefault="00B70F67" w:rsidP="001D4893">
            <w:pPr>
              <w:pStyle w:val="Header"/>
              <w:jc w:val="center"/>
              <w:rPr>
                <w:rFonts w:cs="Arial"/>
                <w:b w:val="0"/>
                <w:szCs w:val="18"/>
              </w:rPr>
            </w:pPr>
            <w:r w:rsidRPr="006C575B">
              <w:rPr>
                <w:rFonts w:cs="Arial"/>
                <w:b w:val="0"/>
                <w:szCs w:val="18"/>
              </w:rPr>
              <w:t>1</w:t>
            </w:r>
          </w:p>
        </w:tc>
        <w:tc>
          <w:tcPr>
            <w:tcW w:w="1743" w:type="dxa"/>
          </w:tcPr>
          <w:p w14:paraId="5266B4CA" w14:textId="77AE63CB" w:rsidR="00B70F67" w:rsidRPr="00AB0F66" w:rsidRDefault="00AB0F66" w:rsidP="001D4893">
            <w:pPr>
              <w:pStyle w:val="Header"/>
              <w:rPr>
                <w:rFonts w:cs="Arial"/>
                <w:b w:val="0"/>
                <w:szCs w:val="18"/>
              </w:rPr>
            </w:pPr>
            <w:r>
              <w:rPr>
                <w:rFonts w:cs="Arial"/>
                <w:b w:val="0"/>
                <w:szCs w:val="18"/>
              </w:rPr>
              <w:t>In Rel-15, we do not see the need to optimize the advanced CSI processing needed for this feature such that it can be shared among various TDD UL band combinations in.</w:t>
            </w:r>
          </w:p>
        </w:tc>
        <w:tc>
          <w:tcPr>
            <w:tcW w:w="2006" w:type="dxa"/>
            <w:shd w:val="clear" w:color="auto" w:fill="auto"/>
          </w:tcPr>
          <w:p w14:paraId="519849A6" w14:textId="4BE60550"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369106F8" w14:textId="77777777" w:rsidTr="003E7681">
        <w:tc>
          <w:tcPr>
            <w:tcW w:w="867" w:type="dxa"/>
            <w:shd w:val="clear" w:color="auto" w:fill="auto"/>
          </w:tcPr>
          <w:p w14:paraId="0A00FBC7" w14:textId="77777777" w:rsidR="00B70F67" w:rsidRPr="00B91695" w:rsidRDefault="00B70F67" w:rsidP="001D4893">
            <w:pPr>
              <w:pStyle w:val="Header"/>
              <w:rPr>
                <w:rFonts w:cs="Arial"/>
                <w:b w:val="0"/>
                <w:szCs w:val="18"/>
              </w:rPr>
            </w:pPr>
            <w:r w:rsidRPr="00B91695">
              <w:rPr>
                <w:rFonts w:cs="Arial" w:hint="eastAsia"/>
                <w:b w:val="0"/>
                <w:szCs w:val="18"/>
              </w:rPr>
              <w:t>3-1a</w:t>
            </w:r>
          </w:p>
        </w:tc>
        <w:tc>
          <w:tcPr>
            <w:tcW w:w="3043" w:type="dxa"/>
            <w:shd w:val="clear" w:color="auto" w:fill="auto"/>
          </w:tcPr>
          <w:p w14:paraId="62C7AD33" w14:textId="77777777" w:rsidR="00B70F67" w:rsidRPr="00B91695" w:rsidRDefault="00B70F67" w:rsidP="001D4893">
            <w:pPr>
              <w:pStyle w:val="Header"/>
              <w:rPr>
                <w:rFonts w:cs="Arial"/>
                <w:b w:val="0"/>
                <w:i/>
                <w:szCs w:val="18"/>
              </w:rPr>
            </w:pPr>
            <w:r w:rsidRPr="00B91695">
              <w:rPr>
                <w:rFonts w:cs="Arial"/>
                <w:b w:val="0"/>
                <w:i/>
                <w:szCs w:val="18"/>
              </w:rPr>
              <w:t>type1-3-CSS</w:t>
            </w:r>
          </w:p>
        </w:tc>
        <w:tc>
          <w:tcPr>
            <w:tcW w:w="1857" w:type="dxa"/>
            <w:shd w:val="clear" w:color="auto" w:fill="CCECFF"/>
          </w:tcPr>
          <w:p w14:paraId="214C684D" w14:textId="7E295C06"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320C1171" w14:textId="0DC549DA"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0B4A2599" w14:textId="49328458"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13466CA2" w14:textId="77777777" w:rsidTr="003E7681">
        <w:tc>
          <w:tcPr>
            <w:tcW w:w="867" w:type="dxa"/>
            <w:shd w:val="clear" w:color="auto" w:fill="auto"/>
          </w:tcPr>
          <w:p w14:paraId="74C52E42" w14:textId="77777777" w:rsidR="00B70F67" w:rsidRPr="00B91695" w:rsidRDefault="00B70F67" w:rsidP="001D4893">
            <w:pPr>
              <w:pStyle w:val="Header"/>
              <w:rPr>
                <w:rFonts w:cs="Arial"/>
                <w:b w:val="0"/>
                <w:szCs w:val="18"/>
              </w:rPr>
            </w:pPr>
            <w:r w:rsidRPr="00B91695">
              <w:rPr>
                <w:rFonts w:cs="Arial"/>
                <w:b w:val="0"/>
                <w:szCs w:val="18"/>
              </w:rPr>
              <w:t>3-5/3-5a</w:t>
            </w:r>
          </w:p>
        </w:tc>
        <w:tc>
          <w:tcPr>
            <w:tcW w:w="3043" w:type="dxa"/>
            <w:shd w:val="clear" w:color="auto" w:fill="auto"/>
          </w:tcPr>
          <w:p w14:paraId="4B8C95D5" w14:textId="77777777" w:rsidR="00B70F67" w:rsidRPr="00B91695" w:rsidRDefault="00B70F67" w:rsidP="001D4893">
            <w:pPr>
              <w:pStyle w:val="Header"/>
              <w:rPr>
                <w:rFonts w:cs="Arial"/>
                <w:b w:val="0"/>
                <w:i/>
                <w:szCs w:val="18"/>
              </w:rPr>
            </w:pPr>
            <w:r w:rsidRPr="00B91695">
              <w:rPr>
                <w:rFonts w:cs="Arial"/>
                <w:b w:val="0"/>
                <w:i/>
                <w:szCs w:val="18"/>
              </w:rPr>
              <w:t>pdcchMonitoringAnyOccasions</w:t>
            </w:r>
          </w:p>
        </w:tc>
        <w:tc>
          <w:tcPr>
            <w:tcW w:w="1857" w:type="dxa"/>
            <w:shd w:val="clear" w:color="auto" w:fill="CCECFF"/>
          </w:tcPr>
          <w:p w14:paraId="6B5CEFF5" w14:textId="49EDE809"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402206C1" w14:textId="263D91D5"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676E7333" w14:textId="1405DDFE"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05902815" w14:textId="77777777" w:rsidTr="003E7681">
        <w:tc>
          <w:tcPr>
            <w:tcW w:w="867" w:type="dxa"/>
            <w:shd w:val="clear" w:color="auto" w:fill="auto"/>
          </w:tcPr>
          <w:p w14:paraId="0FC2350F" w14:textId="77777777" w:rsidR="00B70F67" w:rsidRPr="00B91695" w:rsidRDefault="00B70F67" w:rsidP="001D4893">
            <w:pPr>
              <w:pStyle w:val="Header"/>
              <w:rPr>
                <w:rFonts w:cs="Arial"/>
                <w:b w:val="0"/>
                <w:szCs w:val="18"/>
              </w:rPr>
            </w:pPr>
            <w:r w:rsidRPr="00B91695">
              <w:rPr>
                <w:rFonts w:cs="Arial" w:hint="eastAsia"/>
                <w:b w:val="0"/>
                <w:szCs w:val="18"/>
              </w:rPr>
              <w:t>5-1a</w:t>
            </w:r>
          </w:p>
        </w:tc>
        <w:tc>
          <w:tcPr>
            <w:tcW w:w="3043" w:type="dxa"/>
            <w:shd w:val="clear" w:color="auto" w:fill="auto"/>
          </w:tcPr>
          <w:p w14:paraId="287A2863" w14:textId="77777777" w:rsidR="00B70F67" w:rsidRPr="00B91695" w:rsidRDefault="00B70F67" w:rsidP="001D4893">
            <w:pPr>
              <w:pStyle w:val="Header"/>
              <w:rPr>
                <w:rFonts w:cs="Arial"/>
                <w:b w:val="0"/>
                <w:i/>
                <w:szCs w:val="18"/>
              </w:rPr>
            </w:pPr>
            <w:r w:rsidRPr="00B91695">
              <w:rPr>
                <w:rFonts w:cs="Arial"/>
                <w:b w:val="0"/>
                <w:i/>
                <w:szCs w:val="18"/>
              </w:rPr>
              <w:t>ue-SpecificUL-DL-Assignment</w:t>
            </w:r>
          </w:p>
        </w:tc>
        <w:tc>
          <w:tcPr>
            <w:tcW w:w="1857" w:type="dxa"/>
            <w:shd w:val="clear" w:color="auto" w:fill="CCECFF"/>
          </w:tcPr>
          <w:p w14:paraId="716C30AF" w14:textId="43AFEFAF"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2139385F" w14:textId="4A5FA896" w:rsidR="00B70F67" w:rsidRPr="00AB0F66" w:rsidRDefault="008D6297" w:rsidP="001D4893">
            <w:pPr>
              <w:pStyle w:val="Header"/>
              <w:rPr>
                <w:rFonts w:cs="Arial"/>
                <w:b w:val="0"/>
                <w:szCs w:val="18"/>
              </w:rPr>
            </w:pPr>
            <w:r>
              <w:rPr>
                <w:rFonts w:cs="Arial"/>
                <w:b w:val="0"/>
                <w:szCs w:val="18"/>
              </w:rPr>
              <w:t>Per UE should be sufficient</w:t>
            </w:r>
          </w:p>
        </w:tc>
        <w:tc>
          <w:tcPr>
            <w:tcW w:w="2006" w:type="dxa"/>
            <w:shd w:val="clear" w:color="auto" w:fill="auto"/>
          </w:tcPr>
          <w:p w14:paraId="5E9497CB" w14:textId="7469FDC4"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5F9E6A84" w14:textId="77777777" w:rsidTr="003E7681">
        <w:tc>
          <w:tcPr>
            <w:tcW w:w="867" w:type="dxa"/>
            <w:shd w:val="clear" w:color="auto" w:fill="auto"/>
          </w:tcPr>
          <w:p w14:paraId="065E5F3C" w14:textId="77777777" w:rsidR="00B70F67" w:rsidRPr="00B91695" w:rsidRDefault="00B70F67" w:rsidP="001D4893">
            <w:pPr>
              <w:pStyle w:val="Header"/>
              <w:rPr>
                <w:rFonts w:cs="Arial"/>
                <w:b w:val="0"/>
                <w:szCs w:val="18"/>
              </w:rPr>
            </w:pPr>
            <w:r w:rsidRPr="00B91695">
              <w:rPr>
                <w:rFonts w:cs="Arial" w:hint="eastAsia"/>
                <w:b w:val="0"/>
                <w:szCs w:val="18"/>
              </w:rPr>
              <w:t>6-10</w:t>
            </w:r>
          </w:p>
        </w:tc>
        <w:tc>
          <w:tcPr>
            <w:tcW w:w="3043" w:type="dxa"/>
            <w:shd w:val="clear" w:color="auto" w:fill="auto"/>
          </w:tcPr>
          <w:p w14:paraId="6D783DB6" w14:textId="77777777" w:rsidR="00B70F67" w:rsidRPr="00B91695" w:rsidRDefault="00B70F67" w:rsidP="001D4893">
            <w:pPr>
              <w:pStyle w:val="Header"/>
              <w:rPr>
                <w:rFonts w:cs="Arial"/>
                <w:b w:val="0"/>
                <w:i/>
                <w:szCs w:val="18"/>
              </w:rPr>
            </w:pPr>
            <w:r w:rsidRPr="00B91695">
              <w:rPr>
                <w:rFonts w:cs="Arial"/>
                <w:b w:val="0"/>
                <w:i/>
                <w:szCs w:val="18"/>
              </w:rPr>
              <w:t>crossCarrierScheduling (DL/UL)</w:t>
            </w:r>
          </w:p>
        </w:tc>
        <w:tc>
          <w:tcPr>
            <w:tcW w:w="1857" w:type="dxa"/>
            <w:shd w:val="clear" w:color="auto" w:fill="CCECFF"/>
          </w:tcPr>
          <w:p w14:paraId="38E462CF" w14:textId="209175C0"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150189CD" w14:textId="40BB9B08" w:rsidR="00B70F67" w:rsidRPr="00AB0F66" w:rsidRDefault="007A7391" w:rsidP="001D4893">
            <w:pPr>
              <w:pStyle w:val="Header"/>
              <w:rPr>
                <w:rFonts w:cs="Arial"/>
                <w:b w:val="0"/>
                <w:szCs w:val="18"/>
              </w:rPr>
            </w:pPr>
            <w:r>
              <w:rPr>
                <w:rFonts w:cs="Arial"/>
                <w:b w:val="0"/>
                <w:szCs w:val="18"/>
              </w:rPr>
              <w:t>Per UE should be sufficient</w:t>
            </w:r>
          </w:p>
        </w:tc>
        <w:tc>
          <w:tcPr>
            <w:tcW w:w="2006" w:type="dxa"/>
            <w:shd w:val="clear" w:color="auto" w:fill="auto"/>
          </w:tcPr>
          <w:p w14:paraId="2CAF640F" w14:textId="2B346B35" w:rsidR="00B70F67" w:rsidRPr="006C575B" w:rsidRDefault="00B70F67" w:rsidP="001D4893">
            <w:pPr>
              <w:pStyle w:val="Header"/>
              <w:rPr>
                <w:rFonts w:cs="Arial"/>
                <w:b w:val="0"/>
                <w:szCs w:val="18"/>
              </w:rPr>
            </w:pPr>
            <w:r w:rsidRPr="006C575B">
              <w:rPr>
                <w:rFonts w:cs="Arial" w:hint="eastAsia"/>
                <w:b w:val="0"/>
                <w:szCs w:val="18"/>
              </w:rPr>
              <w:t>As long as the combination</w:t>
            </w:r>
            <w:r w:rsidRPr="006C575B">
              <w:rPr>
                <w:rFonts w:cs="Arial"/>
                <w:b w:val="0"/>
                <w:szCs w:val="18"/>
              </w:rPr>
              <w:t>(s)</w:t>
            </w:r>
            <w:r w:rsidRPr="006C575B">
              <w:rPr>
                <w:rFonts w:cs="Arial" w:hint="eastAsia"/>
                <w:b w:val="0"/>
                <w:szCs w:val="18"/>
              </w:rPr>
              <w:t xml:space="preserve"> of SCS supported </w:t>
            </w:r>
            <w:r w:rsidRPr="006C575B">
              <w:rPr>
                <w:rFonts w:cs="Arial"/>
                <w:b w:val="0"/>
                <w:szCs w:val="18"/>
              </w:rPr>
              <w:t>for cross carrier scheduling. Would it be acceptable to define as per UE?</w:t>
            </w:r>
          </w:p>
        </w:tc>
      </w:tr>
      <w:tr w:rsidR="00B70F67" w:rsidRPr="00C81E1C" w14:paraId="56D0AED8" w14:textId="77777777" w:rsidTr="003E7681">
        <w:tc>
          <w:tcPr>
            <w:tcW w:w="867" w:type="dxa"/>
            <w:shd w:val="clear" w:color="auto" w:fill="auto"/>
          </w:tcPr>
          <w:p w14:paraId="5B692657" w14:textId="77777777" w:rsidR="00B70F67" w:rsidRPr="00B91695" w:rsidRDefault="00B70F67" w:rsidP="001D4893">
            <w:pPr>
              <w:pStyle w:val="Header"/>
              <w:rPr>
                <w:rFonts w:cs="Arial"/>
                <w:b w:val="0"/>
                <w:szCs w:val="18"/>
              </w:rPr>
            </w:pPr>
            <w:r w:rsidRPr="00B91695">
              <w:rPr>
                <w:rFonts w:cs="Arial" w:hint="eastAsia"/>
                <w:b w:val="0"/>
                <w:szCs w:val="18"/>
              </w:rPr>
              <w:t>6-21</w:t>
            </w:r>
          </w:p>
        </w:tc>
        <w:tc>
          <w:tcPr>
            <w:tcW w:w="3043" w:type="dxa"/>
            <w:shd w:val="clear" w:color="auto" w:fill="auto"/>
          </w:tcPr>
          <w:p w14:paraId="6BF0B005" w14:textId="77777777" w:rsidR="00B70F67" w:rsidRPr="00B91695" w:rsidRDefault="00B70F67" w:rsidP="001D4893">
            <w:pPr>
              <w:pStyle w:val="Header"/>
              <w:rPr>
                <w:rFonts w:cs="Arial"/>
                <w:b w:val="0"/>
                <w:i/>
                <w:szCs w:val="18"/>
              </w:rPr>
            </w:pPr>
            <w:r w:rsidRPr="00B91695">
              <w:rPr>
                <w:rFonts w:cs="Arial"/>
                <w:b w:val="0"/>
                <w:i/>
                <w:szCs w:val="18"/>
              </w:rPr>
              <w:t>searchSpaceSharingCA-DL/UL</w:t>
            </w:r>
          </w:p>
        </w:tc>
        <w:tc>
          <w:tcPr>
            <w:tcW w:w="1857" w:type="dxa"/>
            <w:shd w:val="clear" w:color="auto" w:fill="CCECFF"/>
          </w:tcPr>
          <w:p w14:paraId="0B9D968C" w14:textId="2EBE56F8"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46128AD7" w14:textId="6E6E8D0C" w:rsidR="00B70F67" w:rsidRPr="00AB0F66" w:rsidRDefault="007A7391" w:rsidP="001D4893">
            <w:pPr>
              <w:pStyle w:val="Header"/>
              <w:rPr>
                <w:rFonts w:cs="Arial"/>
                <w:b w:val="0"/>
                <w:szCs w:val="18"/>
              </w:rPr>
            </w:pPr>
            <w:r>
              <w:rPr>
                <w:rFonts w:cs="Arial"/>
                <w:b w:val="0"/>
                <w:szCs w:val="18"/>
              </w:rPr>
              <w:t>Per UE should be sufficient</w:t>
            </w:r>
            <w:r w:rsidR="008A58D5">
              <w:rPr>
                <w:rFonts w:cs="Arial"/>
                <w:b w:val="0"/>
                <w:szCs w:val="18"/>
              </w:rPr>
              <w:t>. Note that the number should be also 6-22 (for UL)</w:t>
            </w:r>
          </w:p>
        </w:tc>
        <w:tc>
          <w:tcPr>
            <w:tcW w:w="2006" w:type="dxa"/>
            <w:shd w:val="clear" w:color="auto" w:fill="auto"/>
          </w:tcPr>
          <w:p w14:paraId="37A52D89" w14:textId="77104421"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10F43F1E" w14:textId="77777777" w:rsidTr="003E7681">
        <w:tc>
          <w:tcPr>
            <w:tcW w:w="867" w:type="dxa"/>
            <w:shd w:val="clear" w:color="auto" w:fill="auto"/>
          </w:tcPr>
          <w:p w14:paraId="1ED078A6" w14:textId="77777777" w:rsidR="00B70F67" w:rsidRPr="00B91695" w:rsidRDefault="00B70F67" w:rsidP="001D4893">
            <w:pPr>
              <w:pStyle w:val="Header"/>
              <w:rPr>
                <w:rFonts w:cs="Arial"/>
                <w:b w:val="0"/>
                <w:szCs w:val="18"/>
              </w:rPr>
            </w:pPr>
            <w:r w:rsidRPr="00B91695">
              <w:rPr>
                <w:rFonts w:cs="Arial" w:hint="eastAsia"/>
                <w:b w:val="0"/>
                <w:szCs w:val="18"/>
              </w:rPr>
              <w:t>2-53</w:t>
            </w:r>
          </w:p>
        </w:tc>
        <w:tc>
          <w:tcPr>
            <w:tcW w:w="3043" w:type="dxa"/>
            <w:shd w:val="clear" w:color="auto" w:fill="auto"/>
          </w:tcPr>
          <w:p w14:paraId="3EB14C86" w14:textId="77777777" w:rsidR="00B70F67" w:rsidRPr="00B91695" w:rsidRDefault="00B70F67" w:rsidP="001D4893">
            <w:pPr>
              <w:pStyle w:val="Header"/>
              <w:rPr>
                <w:rFonts w:cs="Arial"/>
                <w:b w:val="0"/>
                <w:i/>
                <w:szCs w:val="18"/>
              </w:rPr>
            </w:pPr>
            <w:r w:rsidRPr="00B91695">
              <w:rPr>
                <w:rFonts w:cs="Arial"/>
                <w:b w:val="0"/>
                <w:i/>
                <w:szCs w:val="18"/>
              </w:rPr>
              <w:t>supportedSRS-Resources</w:t>
            </w:r>
          </w:p>
        </w:tc>
        <w:tc>
          <w:tcPr>
            <w:tcW w:w="1857" w:type="dxa"/>
            <w:shd w:val="clear" w:color="auto" w:fill="CCECFF"/>
          </w:tcPr>
          <w:p w14:paraId="32D190D0" w14:textId="59586BFA" w:rsidR="00B70F67" w:rsidRPr="006C575B" w:rsidRDefault="005D07BE" w:rsidP="001D4893">
            <w:pPr>
              <w:pStyle w:val="Header"/>
              <w:jc w:val="center"/>
              <w:rPr>
                <w:rFonts w:cs="Arial"/>
                <w:b w:val="0"/>
                <w:szCs w:val="18"/>
              </w:rPr>
            </w:pPr>
            <w:r>
              <w:rPr>
                <w:rFonts w:cs="Arial"/>
                <w:b w:val="0"/>
                <w:szCs w:val="18"/>
              </w:rPr>
              <w:t>2</w:t>
            </w:r>
          </w:p>
        </w:tc>
        <w:tc>
          <w:tcPr>
            <w:tcW w:w="1743" w:type="dxa"/>
          </w:tcPr>
          <w:p w14:paraId="585AFBFF" w14:textId="3EA17ABB" w:rsidR="00B70F67" w:rsidRPr="00AB0F66" w:rsidRDefault="005D07BE" w:rsidP="001D4893">
            <w:pPr>
              <w:pStyle w:val="Header"/>
              <w:rPr>
                <w:rFonts w:cs="Arial"/>
                <w:b w:val="0"/>
                <w:szCs w:val="18"/>
              </w:rPr>
            </w:pPr>
            <w:r>
              <w:rPr>
                <w:rFonts w:cs="Arial"/>
                <w:b w:val="0"/>
                <w:szCs w:val="18"/>
              </w:rPr>
              <w:t>There may be differences in # of supported resources between FR1 and FR2</w:t>
            </w:r>
          </w:p>
        </w:tc>
        <w:tc>
          <w:tcPr>
            <w:tcW w:w="2006" w:type="dxa"/>
            <w:shd w:val="clear" w:color="auto" w:fill="auto"/>
          </w:tcPr>
          <w:p w14:paraId="2CAD5720" w14:textId="506546D3" w:rsidR="00B70F67" w:rsidRPr="006C575B" w:rsidRDefault="00B70F67" w:rsidP="001D4893">
            <w:pPr>
              <w:pStyle w:val="Header"/>
              <w:rPr>
                <w:rFonts w:cs="Arial"/>
                <w:b w:val="0"/>
                <w:szCs w:val="18"/>
              </w:rPr>
            </w:pPr>
            <w:r w:rsidRPr="006C575B">
              <w:rPr>
                <w:rFonts w:cs="Arial" w:hint="eastAsia"/>
                <w:b w:val="0"/>
                <w:szCs w:val="18"/>
              </w:rPr>
              <w:t>Could be</w:t>
            </w:r>
            <w:r w:rsidRPr="006C575B">
              <w:rPr>
                <w:rFonts w:cs="Arial"/>
                <w:b w:val="0"/>
                <w:szCs w:val="18"/>
              </w:rPr>
              <w:t xml:space="preserve"> per UE as there is no band dependency</w:t>
            </w:r>
          </w:p>
        </w:tc>
      </w:tr>
      <w:tr w:rsidR="00B70F67" w:rsidRPr="00C81E1C" w14:paraId="5F8452EE" w14:textId="77777777" w:rsidTr="003E7681">
        <w:tc>
          <w:tcPr>
            <w:tcW w:w="867" w:type="dxa"/>
            <w:shd w:val="clear" w:color="auto" w:fill="auto"/>
          </w:tcPr>
          <w:p w14:paraId="0526293C" w14:textId="77777777" w:rsidR="00B70F67" w:rsidRPr="00B91695" w:rsidRDefault="00B70F67" w:rsidP="001D4893">
            <w:pPr>
              <w:pStyle w:val="Header"/>
              <w:rPr>
                <w:rFonts w:cs="Arial"/>
                <w:b w:val="0"/>
                <w:szCs w:val="18"/>
              </w:rPr>
            </w:pPr>
            <w:r w:rsidRPr="00B91695">
              <w:rPr>
                <w:rFonts w:cs="Arial" w:hint="eastAsia"/>
                <w:b w:val="0"/>
                <w:szCs w:val="18"/>
              </w:rPr>
              <w:t>2-55</w:t>
            </w:r>
          </w:p>
        </w:tc>
        <w:tc>
          <w:tcPr>
            <w:tcW w:w="3043" w:type="dxa"/>
            <w:shd w:val="clear" w:color="auto" w:fill="auto"/>
          </w:tcPr>
          <w:p w14:paraId="24089347" w14:textId="77777777" w:rsidR="00B70F67" w:rsidRPr="00B91695" w:rsidRDefault="00B70F67" w:rsidP="001D4893">
            <w:pPr>
              <w:pStyle w:val="Header"/>
              <w:rPr>
                <w:rFonts w:cs="Arial"/>
                <w:b w:val="0"/>
                <w:i/>
                <w:szCs w:val="18"/>
              </w:rPr>
            </w:pPr>
            <w:r w:rsidRPr="00B91695">
              <w:rPr>
                <w:rFonts w:cs="Arial"/>
                <w:b w:val="0"/>
                <w:i/>
                <w:szCs w:val="18"/>
              </w:rPr>
              <w:t>srs-TxSwitch</w:t>
            </w:r>
          </w:p>
        </w:tc>
        <w:tc>
          <w:tcPr>
            <w:tcW w:w="1857" w:type="dxa"/>
            <w:shd w:val="clear" w:color="auto" w:fill="CCECFF"/>
          </w:tcPr>
          <w:p w14:paraId="7806D245" w14:textId="742EB193" w:rsidR="00B70F67" w:rsidRPr="006C575B" w:rsidRDefault="00C72710" w:rsidP="001D4893">
            <w:pPr>
              <w:pStyle w:val="Header"/>
              <w:jc w:val="center"/>
              <w:rPr>
                <w:rFonts w:cs="Arial"/>
                <w:b w:val="0"/>
                <w:szCs w:val="18"/>
              </w:rPr>
            </w:pPr>
            <w:r w:rsidRPr="006C575B">
              <w:rPr>
                <w:rFonts w:cs="Arial"/>
                <w:b w:val="0"/>
                <w:szCs w:val="18"/>
              </w:rPr>
              <w:t>2</w:t>
            </w:r>
          </w:p>
        </w:tc>
        <w:tc>
          <w:tcPr>
            <w:tcW w:w="1743" w:type="dxa"/>
          </w:tcPr>
          <w:p w14:paraId="6051426C" w14:textId="4CC22DAD" w:rsidR="00B70F67" w:rsidRPr="00AB0F66" w:rsidRDefault="00165243" w:rsidP="001D4893">
            <w:pPr>
              <w:pStyle w:val="Header"/>
              <w:rPr>
                <w:rFonts w:cs="Arial"/>
                <w:b w:val="0"/>
                <w:szCs w:val="18"/>
              </w:rPr>
            </w:pPr>
            <w:r>
              <w:rPr>
                <w:rFonts w:cs="Arial"/>
                <w:b w:val="0"/>
                <w:szCs w:val="18"/>
              </w:rPr>
              <w:t>In our expectation, this is primarily driven by RF support for a band.</w:t>
            </w:r>
          </w:p>
        </w:tc>
        <w:tc>
          <w:tcPr>
            <w:tcW w:w="2006" w:type="dxa"/>
            <w:shd w:val="clear" w:color="auto" w:fill="auto"/>
          </w:tcPr>
          <w:p w14:paraId="38BDAC36" w14:textId="35823C54"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76BB1B54" w14:textId="77777777" w:rsidTr="003E7681">
        <w:tc>
          <w:tcPr>
            <w:tcW w:w="867" w:type="dxa"/>
            <w:shd w:val="clear" w:color="auto" w:fill="auto"/>
          </w:tcPr>
          <w:p w14:paraId="726E60F4" w14:textId="77777777" w:rsidR="00B70F67" w:rsidRPr="00B91695" w:rsidRDefault="00B70F67" w:rsidP="001D4893">
            <w:pPr>
              <w:pStyle w:val="Header"/>
              <w:rPr>
                <w:rFonts w:cs="Arial"/>
                <w:b w:val="0"/>
                <w:szCs w:val="18"/>
              </w:rPr>
            </w:pPr>
            <w:r w:rsidRPr="00B91695">
              <w:rPr>
                <w:rFonts w:cs="Arial" w:hint="eastAsia"/>
                <w:b w:val="0"/>
                <w:szCs w:val="18"/>
              </w:rPr>
              <w:t>2-57</w:t>
            </w:r>
          </w:p>
        </w:tc>
        <w:tc>
          <w:tcPr>
            <w:tcW w:w="3043" w:type="dxa"/>
            <w:shd w:val="clear" w:color="auto" w:fill="auto"/>
          </w:tcPr>
          <w:p w14:paraId="0F8A7172" w14:textId="77777777" w:rsidR="00B70F67" w:rsidRPr="00B91695" w:rsidRDefault="00B70F67" w:rsidP="001D4893">
            <w:pPr>
              <w:pStyle w:val="Header"/>
              <w:rPr>
                <w:rFonts w:cs="Arial"/>
                <w:b w:val="0"/>
                <w:i/>
                <w:szCs w:val="18"/>
              </w:rPr>
            </w:pPr>
            <w:r w:rsidRPr="00B91695">
              <w:rPr>
                <w:rFonts w:cs="Arial"/>
                <w:b w:val="0"/>
                <w:i/>
                <w:szCs w:val="18"/>
              </w:rPr>
              <w:t>lowLatencyCSI-Feedback</w:t>
            </w:r>
          </w:p>
        </w:tc>
        <w:tc>
          <w:tcPr>
            <w:tcW w:w="1857" w:type="dxa"/>
            <w:shd w:val="clear" w:color="auto" w:fill="CCECFF"/>
          </w:tcPr>
          <w:p w14:paraId="4D2EDF2E" w14:textId="0A20F60B"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2258A078" w14:textId="1BA4260D" w:rsidR="00B70F67" w:rsidRPr="00AB0F66" w:rsidRDefault="00EF1C2D" w:rsidP="001D4893">
            <w:pPr>
              <w:pStyle w:val="Header"/>
              <w:rPr>
                <w:rFonts w:cs="Arial"/>
                <w:b w:val="0"/>
                <w:szCs w:val="18"/>
              </w:rPr>
            </w:pPr>
            <w:r>
              <w:rPr>
                <w:rFonts w:cs="Arial"/>
                <w:b w:val="0"/>
                <w:szCs w:val="18"/>
              </w:rPr>
              <w:t>Per UE should be sufficient as this relates to baseband capability</w:t>
            </w:r>
          </w:p>
        </w:tc>
        <w:tc>
          <w:tcPr>
            <w:tcW w:w="2006" w:type="dxa"/>
            <w:shd w:val="clear" w:color="auto" w:fill="auto"/>
          </w:tcPr>
          <w:p w14:paraId="1A34CD77" w14:textId="286E1642"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77D34FDE" w14:textId="77777777" w:rsidTr="003E7681">
        <w:tc>
          <w:tcPr>
            <w:tcW w:w="867" w:type="dxa"/>
            <w:shd w:val="clear" w:color="auto" w:fill="auto"/>
          </w:tcPr>
          <w:p w14:paraId="03146233" w14:textId="77777777" w:rsidR="00B70F67" w:rsidRPr="00B91695" w:rsidRDefault="00B70F67" w:rsidP="001D4893">
            <w:pPr>
              <w:pStyle w:val="Header"/>
              <w:rPr>
                <w:rFonts w:cs="Arial"/>
                <w:b w:val="0"/>
                <w:szCs w:val="18"/>
              </w:rPr>
            </w:pPr>
            <w:r w:rsidRPr="00B91695">
              <w:rPr>
                <w:rFonts w:cs="Arial" w:hint="eastAsia"/>
                <w:b w:val="0"/>
                <w:szCs w:val="18"/>
              </w:rPr>
              <w:t>6-7</w:t>
            </w:r>
          </w:p>
        </w:tc>
        <w:tc>
          <w:tcPr>
            <w:tcW w:w="3043" w:type="dxa"/>
            <w:shd w:val="clear" w:color="auto" w:fill="auto"/>
          </w:tcPr>
          <w:p w14:paraId="4007FB98" w14:textId="77777777" w:rsidR="00B70F67" w:rsidRPr="00B91695" w:rsidRDefault="00B70F67" w:rsidP="001D4893">
            <w:pPr>
              <w:pStyle w:val="Header"/>
              <w:rPr>
                <w:rFonts w:cs="Arial"/>
                <w:b w:val="0"/>
                <w:i/>
                <w:szCs w:val="18"/>
              </w:rPr>
            </w:pPr>
            <w:r w:rsidRPr="00B91695">
              <w:rPr>
                <w:rFonts w:cs="Arial"/>
                <w:b w:val="0"/>
                <w:i/>
                <w:szCs w:val="18"/>
              </w:rPr>
              <w:t>twoPUCCH-Group</w:t>
            </w:r>
          </w:p>
        </w:tc>
        <w:tc>
          <w:tcPr>
            <w:tcW w:w="1857" w:type="dxa"/>
            <w:shd w:val="clear" w:color="auto" w:fill="CCECFF"/>
          </w:tcPr>
          <w:p w14:paraId="0D4BD17D" w14:textId="25DF4619"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4BB356E1" w14:textId="0941B74C"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30B055AB" w14:textId="3D10E1CD" w:rsidR="00B70F67" w:rsidRPr="006C575B" w:rsidRDefault="00B70F67" w:rsidP="001D4893">
            <w:pPr>
              <w:pStyle w:val="Header"/>
              <w:rPr>
                <w:rFonts w:cs="Arial"/>
                <w:b w:val="0"/>
                <w:szCs w:val="18"/>
              </w:rPr>
            </w:pPr>
            <w:r w:rsidRPr="006C575B">
              <w:rPr>
                <w:rFonts w:cs="Arial" w:hint="eastAsia"/>
                <w:b w:val="0"/>
                <w:szCs w:val="18"/>
              </w:rPr>
              <w:t>A it is the max capability for UE in CA, per UE or per BC signalling seems reasonable.</w:t>
            </w:r>
          </w:p>
        </w:tc>
      </w:tr>
      <w:tr w:rsidR="00B70F67" w:rsidRPr="00C81E1C" w14:paraId="79399136" w14:textId="77777777" w:rsidTr="003E7681">
        <w:tc>
          <w:tcPr>
            <w:tcW w:w="867" w:type="dxa"/>
            <w:shd w:val="clear" w:color="auto" w:fill="auto"/>
          </w:tcPr>
          <w:p w14:paraId="00ABF42F" w14:textId="77777777" w:rsidR="00B70F67" w:rsidRPr="00B91695" w:rsidRDefault="00B70F67" w:rsidP="001D4893">
            <w:pPr>
              <w:pStyle w:val="Header"/>
              <w:rPr>
                <w:rFonts w:cs="Arial"/>
                <w:b w:val="0"/>
                <w:szCs w:val="18"/>
              </w:rPr>
            </w:pPr>
            <w:r w:rsidRPr="00B91695">
              <w:rPr>
                <w:rFonts w:cs="Arial" w:hint="eastAsia"/>
                <w:b w:val="0"/>
                <w:szCs w:val="18"/>
              </w:rPr>
              <w:t>6-8</w:t>
            </w:r>
          </w:p>
        </w:tc>
        <w:tc>
          <w:tcPr>
            <w:tcW w:w="3043" w:type="dxa"/>
            <w:shd w:val="clear" w:color="auto" w:fill="auto"/>
          </w:tcPr>
          <w:p w14:paraId="5FC35E5A" w14:textId="77777777" w:rsidR="00B70F67" w:rsidRPr="00B91695" w:rsidRDefault="00B70F67" w:rsidP="001D4893">
            <w:pPr>
              <w:pStyle w:val="Header"/>
              <w:rPr>
                <w:rFonts w:cs="Arial"/>
                <w:b w:val="0"/>
                <w:i/>
                <w:szCs w:val="18"/>
              </w:rPr>
            </w:pPr>
            <w:r w:rsidRPr="00B91695">
              <w:rPr>
                <w:rFonts w:cs="Arial"/>
                <w:b w:val="0"/>
                <w:i/>
                <w:szCs w:val="18"/>
              </w:rPr>
              <w:t>diffNumerologyAcrossPUCCH-Group</w:t>
            </w:r>
          </w:p>
        </w:tc>
        <w:tc>
          <w:tcPr>
            <w:tcW w:w="1857" w:type="dxa"/>
            <w:shd w:val="clear" w:color="auto" w:fill="CCECFF"/>
          </w:tcPr>
          <w:p w14:paraId="65079423" w14:textId="293D1266"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65A3A9A4" w14:textId="5D49919E" w:rsidR="00B70F67" w:rsidRPr="00AB0F66" w:rsidRDefault="0048451C" w:rsidP="001D4893">
            <w:pPr>
              <w:pStyle w:val="Header"/>
              <w:rPr>
                <w:rFonts w:cs="Arial"/>
                <w:b w:val="0"/>
                <w:szCs w:val="18"/>
              </w:rPr>
            </w:pPr>
            <w:r>
              <w:rPr>
                <w:rFonts w:cs="Arial"/>
                <w:b w:val="0"/>
                <w:szCs w:val="18"/>
              </w:rPr>
              <w:t>Per UE should be sufficient</w:t>
            </w:r>
            <w:r w:rsidR="00174A14">
              <w:rPr>
                <w:rFonts w:cs="Arial"/>
                <w:b w:val="0"/>
                <w:szCs w:val="18"/>
              </w:rPr>
              <w:t>. Answer in 6-9 is relevant to take into account.</w:t>
            </w:r>
          </w:p>
        </w:tc>
        <w:tc>
          <w:tcPr>
            <w:tcW w:w="2006" w:type="dxa"/>
            <w:shd w:val="clear" w:color="auto" w:fill="auto"/>
          </w:tcPr>
          <w:p w14:paraId="6ECAE82A" w14:textId="3A18D4AC" w:rsidR="00B70F67" w:rsidRPr="006C575B" w:rsidRDefault="00B70F67" w:rsidP="001D4893">
            <w:pPr>
              <w:pStyle w:val="Header"/>
              <w:rPr>
                <w:rFonts w:cs="Arial"/>
                <w:b w:val="0"/>
                <w:szCs w:val="18"/>
              </w:rPr>
            </w:pPr>
            <w:r w:rsidRPr="006C575B">
              <w:rPr>
                <w:rFonts w:cs="Arial" w:hint="eastAsia"/>
                <w:b w:val="0"/>
                <w:szCs w:val="18"/>
              </w:rPr>
              <w:t>As long as the combination</w:t>
            </w:r>
            <w:r w:rsidRPr="006C575B">
              <w:rPr>
                <w:rFonts w:cs="Arial"/>
                <w:b w:val="0"/>
                <w:szCs w:val="18"/>
              </w:rPr>
              <w:t>(s)</w:t>
            </w:r>
            <w:r w:rsidRPr="006C575B">
              <w:rPr>
                <w:rFonts w:cs="Arial" w:hint="eastAsia"/>
                <w:b w:val="0"/>
                <w:szCs w:val="18"/>
              </w:rPr>
              <w:t xml:space="preserve"> of SCS supported </w:t>
            </w:r>
            <w:r w:rsidRPr="006C575B">
              <w:rPr>
                <w:rFonts w:cs="Arial"/>
                <w:b w:val="0"/>
                <w:szCs w:val="18"/>
              </w:rPr>
              <w:t>for this feature. Would it be acceptable to define as per UE?</w:t>
            </w:r>
          </w:p>
        </w:tc>
      </w:tr>
      <w:tr w:rsidR="00B70F67" w:rsidRPr="00C81E1C" w14:paraId="1E1971A1" w14:textId="77777777" w:rsidTr="003E7681">
        <w:tc>
          <w:tcPr>
            <w:tcW w:w="867" w:type="dxa"/>
            <w:shd w:val="clear" w:color="auto" w:fill="auto"/>
          </w:tcPr>
          <w:p w14:paraId="3084AB7F" w14:textId="77777777" w:rsidR="00B70F67" w:rsidRPr="00B91695" w:rsidRDefault="00B70F67" w:rsidP="001D4893">
            <w:pPr>
              <w:pStyle w:val="Header"/>
              <w:rPr>
                <w:rFonts w:cs="Arial"/>
                <w:b w:val="0"/>
                <w:szCs w:val="18"/>
              </w:rPr>
            </w:pPr>
            <w:r w:rsidRPr="00B91695">
              <w:rPr>
                <w:rFonts w:cs="Arial" w:hint="eastAsia"/>
                <w:b w:val="0"/>
                <w:szCs w:val="18"/>
              </w:rPr>
              <w:t>6-9</w:t>
            </w:r>
          </w:p>
        </w:tc>
        <w:tc>
          <w:tcPr>
            <w:tcW w:w="3043" w:type="dxa"/>
            <w:shd w:val="clear" w:color="auto" w:fill="auto"/>
          </w:tcPr>
          <w:p w14:paraId="6CB3E9BF" w14:textId="77777777" w:rsidR="00B70F67" w:rsidRPr="00B91695" w:rsidRDefault="00B70F67" w:rsidP="001D4893">
            <w:pPr>
              <w:pStyle w:val="Header"/>
              <w:rPr>
                <w:rFonts w:cs="Arial"/>
                <w:b w:val="0"/>
                <w:i/>
                <w:szCs w:val="18"/>
              </w:rPr>
            </w:pPr>
            <w:r w:rsidRPr="00B91695">
              <w:rPr>
                <w:rFonts w:cs="Arial"/>
                <w:b w:val="0"/>
                <w:i/>
                <w:szCs w:val="18"/>
              </w:rPr>
              <w:t>diffNumerologyWithinPUCCH-Group</w:t>
            </w:r>
          </w:p>
        </w:tc>
        <w:tc>
          <w:tcPr>
            <w:tcW w:w="1857" w:type="dxa"/>
            <w:shd w:val="clear" w:color="auto" w:fill="CCECFF"/>
          </w:tcPr>
          <w:p w14:paraId="4D1B3095" w14:textId="7FB55569"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42163747" w14:textId="7D7438A6" w:rsidR="00B70F67" w:rsidRPr="00AB0F66" w:rsidRDefault="00174A14" w:rsidP="001D4893">
            <w:pPr>
              <w:pStyle w:val="Header"/>
              <w:rPr>
                <w:rFonts w:cs="Arial"/>
                <w:b w:val="0"/>
                <w:szCs w:val="18"/>
              </w:rPr>
            </w:pPr>
            <w:r>
              <w:rPr>
                <w:rFonts w:cs="Arial"/>
                <w:b w:val="0"/>
                <w:szCs w:val="18"/>
              </w:rPr>
              <w:t xml:space="preserve">For certain CA band combinations 6-9 needs to be supported. For example FR1 and </w:t>
            </w:r>
            <w:r>
              <w:rPr>
                <w:rFonts w:cs="Arial"/>
                <w:b w:val="0"/>
                <w:szCs w:val="18"/>
              </w:rPr>
              <w:lastRenderedPageBreak/>
              <w:t xml:space="preserve">FR2 aggregation. </w:t>
            </w:r>
            <w:r w:rsidR="0048451C">
              <w:rPr>
                <w:rFonts w:cs="Arial"/>
                <w:b w:val="0"/>
                <w:szCs w:val="18"/>
              </w:rPr>
              <w:t>Per UE should be sufficient</w:t>
            </w:r>
          </w:p>
        </w:tc>
        <w:tc>
          <w:tcPr>
            <w:tcW w:w="2006" w:type="dxa"/>
            <w:shd w:val="clear" w:color="auto" w:fill="auto"/>
          </w:tcPr>
          <w:p w14:paraId="2723A90F" w14:textId="52AFECA4" w:rsidR="00B70F67" w:rsidRPr="006C575B" w:rsidRDefault="00B70F67" w:rsidP="001D4893">
            <w:pPr>
              <w:pStyle w:val="Header"/>
              <w:rPr>
                <w:rFonts w:cs="Arial"/>
                <w:b w:val="0"/>
                <w:szCs w:val="18"/>
              </w:rPr>
            </w:pPr>
            <w:r w:rsidRPr="006C575B">
              <w:rPr>
                <w:rFonts w:cs="Arial" w:hint="eastAsia"/>
                <w:b w:val="0"/>
                <w:szCs w:val="18"/>
              </w:rPr>
              <w:lastRenderedPageBreak/>
              <w:t>As long as the combination</w:t>
            </w:r>
            <w:r w:rsidRPr="006C575B">
              <w:rPr>
                <w:rFonts w:cs="Arial"/>
                <w:b w:val="0"/>
                <w:szCs w:val="18"/>
              </w:rPr>
              <w:t>(s)</w:t>
            </w:r>
            <w:r w:rsidRPr="006C575B">
              <w:rPr>
                <w:rFonts w:cs="Arial" w:hint="eastAsia"/>
                <w:b w:val="0"/>
                <w:szCs w:val="18"/>
              </w:rPr>
              <w:t xml:space="preserve"> of SCS supported </w:t>
            </w:r>
            <w:r w:rsidRPr="006C575B">
              <w:rPr>
                <w:rFonts w:cs="Arial"/>
                <w:b w:val="0"/>
                <w:szCs w:val="18"/>
              </w:rPr>
              <w:t xml:space="preserve">for this feature. Would it be acceptable to </w:t>
            </w:r>
            <w:r w:rsidRPr="006C575B">
              <w:rPr>
                <w:rFonts w:cs="Arial"/>
                <w:b w:val="0"/>
                <w:szCs w:val="18"/>
              </w:rPr>
              <w:lastRenderedPageBreak/>
              <w:t>define as per UE?</w:t>
            </w:r>
          </w:p>
        </w:tc>
      </w:tr>
      <w:tr w:rsidR="00B70F67" w:rsidRPr="00C81E1C" w14:paraId="487E0C53" w14:textId="77777777" w:rsidTr="003E7681">
        <w:tc>
          <w:tcPr>
            <w:tcW w:w="867" w:type="dxa"/>
            <w:shd w:val="clear" w:color="auto" w:fill="auto"/>
          </w:tcPr>
          <w:p w14:paraId="5128E469" w14:textId="77777777" w:rsidR="00B70F67" w:rsidRPr="00B91695" w:rsidRDefault="00B70F67" w:rsidP="001D4893">
            <w:pPr>
              <w:pStyle w:val="Header"/>
              <w:rPr>
                <w:rFonts w:cs="Arial"/>
                <w:b w:val="0"/>
                <w:szCs w:val="18"/>
              </w:rPr>
            </w:pPr>
            <w:r w:rsidRPr="00B91695">
              <w:rPr>
                <w:rFonts w:cs="Arial" w:hint="eastAsia"/>
                <w:b w:val="0"/>
                <w:szCs w:val="18"/>
              </w:rPr>
              <w:lastRenderedPageBreak/>
              <w:t>6-11</w:t>
            </w:r>
          </w:p>
        </w:tc>
        <w:tc>
          <w:tcPr>
            <w:tcW w:w="3043" w:type="dxa"/>
            <w:shd w:val="clear" w:color="auto" w:fill="auto"/>
          </w:tcPr>
          <w:p w14:paraId="28CF6F74" w14:textId="77777777" w:rsidR="00B70F67" w:rsidRPr="00B91695" w:rsidRDefault="00B70F67" w:rsidP="001D4893">
            <w:pPr>
              <w:pStyle w:val="Header"/>
              <w:rPr>
                <w:rFonts w:cs="Arial"/>
                <w:b w:val="0"/>
                <w:i/>
                <w:szCs w:val="18"/>
              </w:rPr>
            </w:pPr>
            <w:r w:rsidRPr="00B91695">
              <w:rPr>
                <w:rFonts w:cs="Arial"/>
                <w:b w:val="0"/>
                <w:i/>
                <w:szCs w:val="18"/>
              </w:rPr>
              <w:t>supportedNumberTAG</w:t>
            </w:r>
          </w:p>
        </w:tc>
        <w:tc>
          <w:tcPr>
            <w:tcW w:w="1857" w:type="dxa"/>
            <w:shd w:val="clear" w:color="auto" w:fill="CCECFF"/>
          </w:tcPr>
          <w:p w14:paraId="38F390C7" w14:textId="4B4FFFBC"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448696A9" w14:textId="3CF5E227"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730601C0" w14:textId="6953879E" w:rsidR="00B70F67" w:rsidRPr="006C575B" w:rsidRDefault="00B70F67" w:rsidP="001D4893">
            <w:pPr>
              <w:pStyle w:val="Header"/>
              <w:rPr>
                <w:rFonts w:cs="Arial"/>
                <w:b w:val="0"/>
                <w:szCs w:val="18"/>
              </w:rPr>
            </w:pPr>
            <w:r w:rsidRPr="006C575B">
              <w:rPr>
                <w:rFonts w:cs="Arial"/>
                <w:b w:val="0"/>
                <w:szCs w:val="18"/>
              </w:rPr>
              <w:t>Given that the max number of 4 per UE in the spec, per-UE signalling seems reasonable.</w:t>
            </w:r>
          </w:p>
        </w:tc>
      </w:tr>
      <w:tr w:rsidR="00B70F67" w:rsidRPr="00C81E1C" w14:paraId="6FA36A84" w14:textId="77777777" w:rsidTr="003E7681">
        <w:tc>
          <w:tcPr>
            <w:tcW w:w="867" w:type="dxa"/>
            <w:shd w:val="clear" w:color="auto" w:fill="auto"/>
          </w:tcPr>
          <w:p w14:paraId="26ABA372" w14:textId="77777777" w:rsidR="00B70F67" w:rsidRPr="00B91695" w:rsidRDefault="00B70F67" w:rsidP="001D4893">
            <w:pPr>
              <w:pStyle w:val="Header"/>
              <w:rPr>
                <w:rFonts w:cs="Arial"/>
                <w:b w:val="0"/>
                <w:szCs w:val="18"/>
              </w:rPr>
            </w:pPr>
            <w:r w:rsidRPr="00B91695">
              <w:rPr>
                <w:rFonts w:cs="Arial" w:hint="eastAsia"/>
                <w:b w:val="0"/>
                <w:szCs w:val="18"/>
              </w:rPr>
              <w:t>6-18</w:t>
            </w:r>
          </w:p>
        </w:tc>
        <w:tc>
          <w:tcPr>
            <w:tcW w:w="3043" w:type="dxa"/>
            <w:shd w:val="clear" w:color="auto" w:fill="auto"/>
          </w:tcPr>
          <w:p w14:paraId="21AA1758" w14:textId="77777777" w:rsidR="00B70F67" w:rsidRPr="00B91695" w:rsidRDefault="00B70F67" w:rsidP="001D4893">
            <w:pPr>
              <w:pStyle w:val="Header"/>
              <w:rPr>
                <w:rFonts w:cs="Arial"/>
                <w:b w:val="0"/>
                <w:i/>
                <w:szCs w:val="18"/>
              </w:rPr>
            </w:pPr>
            <w:r w:rsidRPr="00B91695">
              <w:rPr>
                <w:rFonts w:cs="Arial"/>
                <w:b w:val="0"/>
                <w:i/>
                <w:szCs w:val="18"/>
              </w:rPr>
              <w:t>dynamicSwitchSUL</w:t>
            </w:r>
          </w:p>
        </w:tc>
        <w:tc>
          <w:tcPr>
            <w:tcW w:w="1857" w:type="dxa"/>
            <w:shd w:val="clear" w:color="auto" w:fill="CCECFF"/>
          </w:tcPr>
          <w:p w14:paraId="154E5706" w14:textId="6A67A08A"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3431CF52" w14:textId="665F5054" w:rsidR="00B70F67" w:rsidRPr="00AB0F66" w:rsidRDefault="0048451C" w:rsidP="001D4893">
            <w:pPr>
              <w:pStyle w:val="Header"/>
              <w:rPr>
                <w:rFonts w:cs="Arial"/>
                <w:b w:val="0"/>
                <w:szCs w:val="18"/>
              </w:rPr>
            </w:pPr>
            <w:r>
              <w:rPr>
                <w:rFonts w:cs="Arial"/>
                <w:b w:val="0"/>
                <w:szCs w:val="18"/>
              </w:rPr>
              <w:t>Per UE should be sufficient</w:t>
            </w:r>
          </w:p>
        </w:tc>
        <w:tc>
          <w:tcPr>
            <w:tcW w:w="2006" w:type="dxa"/>
            <w:shd w:val="clear" w:color="auto" w:fill="auto"/>
          </w:tcPr>
          <w:p w14:paraId="796D42AA" w14:textId="7A4E9833"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B70F67" w:rsidRPr="00C81E1C" w14:paraId="5DE99AFF" w14:textId="77777777" w:rsidTr="003E7681">
        <w:tc>
          <w:tcPr>
            <w:tcW w:w="867" w:type="dxa"/>
            <w:shd w:val="clear" w:color="auto" w:fill="auto"/>
          </w:tcPr>
          <w:p w14:paraId="7D1D4F99" w14:textId="77777777" w:rsidR="00B70F67" w:rsidRPr="008A58D5" w:rsidRDefault="00B70F67" w:rsidP="001D4893">
            <w:pPr>
              <w:pStyle w:val="Header"/>
              <w:rPr>
                <w:rFonts w:cs="Arial"/>
                <w:b w:val="0"/>
                <w:strike/>
                <w:szCs w:val="18"/>
              </w:rPr>
            </w:pPr>
            <w:bookmarkStart w:id="3" w:name="_Hlk513627501"/>
            <w:r w:rsidRPr="008A58D5">
              <w:rPr>
                <w:rFonts w:cs="Arial" w:hint="eastAsia"/>
                <w:b w:val="0"/>
                <w:strike/>
                <w:szCs w:val="18"/>
              </w:rPr>
              <w:t>6-19</w:t>
            </w:r>
          </w:p>
          <w:p w14:paraId="6B3A4668" w14:textId="2D97806A" w:rsidR="008A58D5" w:rsidRPr="00B91695" w:rsidRDefault="008A58D5" w:rsidP="001D4893">
            <w:pPr>
              <w:pStyle w:val="Header"/>
              <w:rPr>
                <w:rFonts w:cs="Arial"/>
                <w:b w:val="0"/>
                <w:szCs w:val="18"/>
              </w:rPr>
            </w:pPr>
            <w:r>
              <w:rPr>
                <w:rFonts w:cs="Arial"/>
                <w:b w:val="0"/>
                <w:szCs w:val="18"/>
              </w:rPr>
              <w:t>2-2</w:t>
            </w:r>
          </w:p>
        </w:tc>
        <w:tc>
          <w:tcPr>
            <w:tcW w:w="3043" w:type="dxa"/>
            <w:shd w:val="clear" w:color="auto" w:fill="auto"/>
          </w:tcPr>
          <w:p w14:paraId="35ABF8BF" w14:textId="4DE78C0A" w:rsidR="00B70F67" w:rsidRPr="00B91695" w:rsidRDefault="00B70F67" w:rsidP="001D4893">
            <w:pPr>
              <w:pStyle w:val="Header"/>
              <w:rPr>
                <w:rFonts w:cs="Arial"/>
                <w:b w:val="0"/>
                <w:i/>
                <w:szCs w:val="18"/>
              </w:rPr>
            </w:pPr>
            <w:r w:rsidRPr="00B91695">
              <w:rPr>
                <w:rFonts w:cs="Arial"/>
                <w:b w:val="0"/>
                <w:i/>
                <w:szCs w:val="18"/>
              </w:rPr>
              <w:t>timeDurationForQCL</w:t>
            </w:r>
            <w:r w:rsidR="008A58D5">
              <w:rPr>
                <w:rFonts w:cs="Arial"/>
                <w:b w:val="0"/>
                <w:i/>
                <w:szCs w:val="18"/>
              </w:rPr>
              <w:t>/</w:t>
            </w:r>
            <w:r w:rsidR="008A58D5">
              <w:t xml:space="preserve"> </w:t>
            </w:r>
            <w:r w:rsidR="008A58D5" w:rsidRPr="008A58D5">
              <w:rPr>
                <w:rFonts w:cs="Arial"/>
                <w:b w:val="0"/>
                <w:szCs w:val="18"/>
              </w:rPr>
              <w:t>PDSCH beam switching</w:t>
            </w:r>
          </w:p>
        </w:tc>
        <w:tc>
          <w:tcPr>
            <w:tcW w:w="1857" w:type="dxa"/>
            <w:shd w:val="clear" w:color="auto" w:fill="CCECFF"/>
          </w:tcPr>
          <w:p w14:paraId="21727FB2" w14:textId="0AA70D69" w:rsidR="00B70F67" w:rsidRPr="006C575B" w:rsidRDefault="00B07D9A" w:rsidP="001D4893">
            <w:pPr>
              <w:pStyle w:val="Header"/>
              <w:jc w:val="center"/>
              <w:rPr>
                <w:rFonts w:cs="Arial"/>
                <w:b w:val="0"/>
                <w:szCs w:val="18"/>
              </w:rPr>
            </w:pPr>
            <w:r>
              <w:rPr>
                <w:rFonts w:cs="Arial"/>
                <w:b w:val="0"/>
                <w:szCs w:val="18"/>
              </w:rPr>
              <w:t>1</w:t>
            </w:r>
          </w:p>
        </w:tc>
        <w:tc>
          <w:tcPr>
            <w:tcW w:w="1743" w:type="dxa"/>
          </w:tcPr>
          <w:p w14:paraId="5C39E045" w14:textId="2FAD8E03" w:rsidR="00B70F67" w:rsidRPr="00AB0F66" w:rsidRDefault="00B07D9A" w:rsidP="001D4893">
            <w:pPr>
              <w:pStyle w:val="Header"/>
              <w:rPr>
                <w:rFonts w:cs="Arial"/>
                <w:b w:val="0"/>
                <w:szCs w:val="18"/>
              </w:rPr>
            </w:pPr>
            <w:r w:rsidRPr="00B07D9A">
              <w:rPr>
                <w:rFonts w:cs="Arial"/>
                <w:b w:val="0"/>
                <w:szCs w:val="18"/>
              </w:rPr>
              <w:t>UE capability is reported per SCS, so can be per UE.</w:t>
            </w:r>
          </w:p>
        </w:tc>
        <w:tc>
          <w:tcPr>
            <w:tcW w:w="2006" w:type="dxa"/>
            <w:shd w:val="clear" w:color="auto" w:fill="auto"/>
          </w:tcPr>
          <w:p w14:paraId="40998E01" w14:textId="75EB3AC0"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tr w:rsidR="008A58D5" w:rsidRPr="00C81E1C" w14:paraId="5F6CC7D1" w14:textId="77777777" w:rsidTr="003E7681">
        <w:tc>
          <w:tcPr>
            <w:tcW w:w="867" w:type="dxa"/>
            <w:shd w:val="clear" w:color="auto" w:fill="auto"/>
          </w:tcPr>
          <w:p w14:paraId="49CACA70" w14:textId="3824D691" w:rsidR="008A58D5" w:rsidRPr="00B91695" w:rsidRDefault="008A58D5" w:rsidP="001D4893">
            <w:pPr>
              <w:pStyle w:val="Header"/>
              <w:rPr>
                <w:rFonts w:cs="Arial"/>
                <w:b w:val="0"/>
                <w:szCs w:val="18"/>
              </w:rPr>
            </w:pPr>
            <w:r>
              <w:rPr>
                <w:rFonts w:cs="Arial"/>
                <w:b w:val="0"/>
                <w:szCs w:val="18"/>
              </w:rPr>
              <w:t>6-19</w:t>
            </w:r>
          </w:p>
        </w:tc>
        <w:tc>
          <w:tcPr>
            <w:tcW w:w="3043" w:type="dxa"/>
            <w:shd w:val="clear" w:color="auto" w:fill="auto"/>
          </w:tcPr>
          <w:p w14:paraId="03C505BB" w14:textId="39AD2D8D" w:rsidR="008A58D5" w:rsidRPr="008A58D5" w:rsidRDefault="008A58D5" w:rsidP="001D4893">
            <w:pPr>
              <w:pStyle w:val="Header"/>
              <w:rPr>
                <w:rFonts w:cs="Arial"/>
                <w:b w:val="0"/>
                <w:szCs w:val="18"/>
              </w:rPr>
            </w:pPr>
            <w:r w:rsidRPr="008A58D5">
              <w:rPr>
                <w:rFonts w:eastAsia="MS PGothic" w:cs="Arial"/>
                <w:b w:val="0"/>
                <w:szCs w:val="18"/>
              </w:rPr>
              <w:t>Simultaneous transmission of SRS on an SUL/non-SUL carrier and PUSCH/PUCCH/SRS/PRACH on the other UL carrier in the same cell</w:t>
            </w:r>
          </w:p>
        </w:tc>
        <w:tc>
          <w:tcPr>
            <w:tcW w:w="1857" w:type="dxa"/>
            <w:shd w:val="clear" w:color="auto" w:fill="CCECFF"/>
          </w:tcPr>
          <w:p w14:paraId="38797EA5" w14:textId="15D1A679" w:rsidR="008A58D5" w:rsidRPr="006C575B" w:rsidRDefault="00A55BC9" w:rsidP="001D4893">
            <w:pPr>
              <w:pStyle w:val="Header"/>
              <w:jc w:val="center"/>
              <w:rPr>
                <w:rFonts w:cs="Arial"/>
                <w:b w:val="0"/>
                <w:szCs w:val="18"/>
              </w:rPr>
            </w:pPr>
            <w:r>
              <w:rPr>
                <w:rFonts w:cs="Arial"/>
                <w:b w:val="0"/>
                <w:szCs w:val="18"/>
              </w:rPr>
              <w:t>1</w:t>
            </w:r>
          </w:p>
        </w:tc>
        <w:tc>
          <w:tcPr>
            <w:tcW w:w="1743" w:type="dxa"/>
          </w:tcPr>
          <w:p w14:paraId="27FC641F" w14:textId="02D018C7" w:rsidR="008A58D5" w:rsidRDefault="008A58D5" w:rsidP="001D4893">
            <w:pPr>
              <w:pStyle w:val="Header"/>
              <w:rPr>
                <w:rFonts w:cs="Arial"/>
                <w:b w:val="0"/>
                <w:szCs w:val="18"/>
              </w:rPr>
            </w:pPr>
            <w:r>
              <w:rPr>
                <w:rFonts w:cs="Arial"/>
                <w:b w:val="0"/>
                <w:szCs w:val="18"/>
              </w:rPr>
              <w:t>RAN4 requirements are defined in such away that it requires in practise two transmission chains. Hence making this capability per UE should be ok</w:t>
            </w:r>
          </w:p>
        </w:tc>
        <w:tc>
          <w:tcPr>
            <w:tcW w:w="2006" w:type="dxa"/>
            <w:shd w:val="clear" w:color="auto" w:fill="auto"/>
          </w:tcPr>
          <w:p w14:paraId="1899CD7C" w14:textId="77777777" w:rsidR="008A58D5" w:rsidRPr="006C575B" w:rsidRDefault="008A58D5" w:rsidP="001D4893">
            <w:pPr>
              <w:pStyle w:val="Header"/>
              <w:rPr>
                <w:rFonts w:cs="Arial"/>
                <w:b w:val="0"/>
                <w:szCs w:val="18"/>
              </w:rPr>
            </w:pPr>
          </w:p>
        </w:tc>
      </w:tr>
      <w:tr w:rsidR="00B70F67" w:rsidRPr="00C81E1C" w14:paraId="3DD2ED28" w14:textId="77777777" w:rsidTr="003E7681">
        <w:tc>
          <w:tcPr>
            <w:tcW w:w="867" w:type="dxa"/>
            <w:shd w:val="clear" w:color="auto" w:fill="auto"/>
          </w:tcPr>
          <w:p w14:paraId="45621F61" w14:textId="77777777" w:rsidR="00B70F67" w:rsidRDefault="00B70F67" w:rsidP="001D4893">
            <w:pPr>
              <w:pStyle w:val="Header"/>
              <w:rPr>
                <w:rFonts w:cs="Arial"/>
                <w:b w:val="0"/>
                <w:strike/>
                <w:szCs w:val="18"/>
              </w:rPr>
            </w:pPr>
            <w:r w:rsidRPr="008A58D5">
              <w:rPr>
                <w:rFonts w:cs="Arial" w:hint="eastAsia"/>
                <w:b w:val="0"/>
                <w:strike/>
                <w:szCs w:val="18"/>
              </w:rPr>
              <w:t>6-</w:t>
            </w:r>
            <w:r w:rsidRPr="008A58D5">
              <w:rPr>
                <w:rFonts w:cs="Arial"/>
                <w:b w:val="0"/>
                <w:strike/>
                <w:szCs w:val="18"/>
              </w:rPr>
              <w:t>22</w:t>
            </w:r>
          </w:p>
          <w:p w14:paraId="65EC1249" w14:textId="0AEA4D69" w:rsidR="008A58D5" w:rsidRPr="008A58D5" w:rsidRDefault="008A58D5" w:rsidP="001D4893">
            <w:pPr>
              <w:pStyle w:val="Header"/>
              <w:rPr>
                <w:rFonts w:cs="Arial"/>
                <w:b w:val="0"/>
                <w:szCs w:val="18"/>
              </w:rPr>
            </w:pPr>
            <w:r w:rsidRPr="008A58D5">
              <w:rPr>
                <w:rFonts w:cs="Arial"/>
                <w:b w:val="0"/>
                <w:szCs w:val="18"/>
              </w:rPr>
              <w:t>5-11, 5-11a, 5-12, 5-12a</w:t>
            </w:r>
          </w:p>
        </w:tc>
        <w:tc>
          <w:tcPr>
            <w:tcW w:w="3043" w:type="dxa"/>
            <w:shd w:val="clear" w:color="auto" w:fill="auto"/>
          </w:tcPr>
          <w:p w14:paraId="2C8658B5" w14:textId="77777777" w:rsidR="00B70F67" w:rsidRPr="00B91695" w:rsidRDefault="00B70F67" w:rsidP="001D4893">
            <w:pPr>
              <w:pStyle w:val="Header"/>
              <w:rPr>
                <w:rFonts w:cs="Arial"/>
                <w:b w:val="0"/>
                <w:i/>
                <w:szCs w:val="18"/>
              </w:rPr>
            </w:pPr>
            <w:r w:rsidRPr="00B91695">
              <w:rPr>
                <w:rFonts w:cs="Arial"/>
                <w:b w:val="0"/>
                <w:i/>
                <w:szCs w:val="18"/>
              </w:rPr>
              <w:t>pdsch/pusch-DifferentTB-PerSlot</w:t>
            </w:r>
          </w:p>
        </w:tc>
        <w:tc>
          <w:tcPr>
            <w:tcW w:w="1857" w:type="dxa"/>
            <w:shd w:val="clear" w:color="auto" w:fill="CCECFF"/>
          </w:tcPr>
          <w:p w14:paraId="3905D798" w14:textId="64D72546" w:rsidR="00B70F67" w:rsidRPr="006C575B" w:rsidRDefault="00A55BC9" w:rsidP="001D4893">
            <w:pPr>
              <w:pStyle w:val="Header"/>
              <w:jc w:val="center"/>
              <w:rPr>
                <w:rFonts w:cs="Arial"/>
                <w:b w:val="0"/>
                <w:szCs w:val="18"/>
              </w:rPr>
            </w:pPr>
            <w:r>
              <w:rPr>
                <w:rFonts w:cs="Arial"/>
                <w:b w:val="0"/>
                <w:szCs w:val="18"/>
              </w:rPr>
              <w:t>1</w:t>
            </w:r>
          </w:p>
        </w:tc>
        <w:tc>
          <w:tcPr>
            <w:tcW w:w="1743" w:type="dxa"/>
          </w:tcPr>
          <w:p w14:paraId="2747E90F" w14:textId="7BD6062D" w:rsidR="00B70F67" w:rsidRPr="00AB0F66" w:rsidRDefault="007A7391" w:rsidP="001D4893">
            <w:pPr>
              <w:pStyle w:val="Header"/>
              <w:rPr>
                <w:rFonts w:cs="Arial"/>
                <w:b w:val="0"/>
                <w:szCs w:val="18"/>
              </w:rPr>
            </w:pPr>
            <w:r>
              <w:rPr>
                <w:rFonts w:cs="Arial"/>
                <w:b w:val="0"/>
                <w:szCs w:val="18"/>
              </w:rPr>
              <w:t>This should be sufficent to define as per UE</w:t>
            </w:r>
            <w:r w:rsidR="008A58D5">
              <w:rPr>
                <w:rFonts w:cs="Arial"/>
                <w:b w:val="0"/>
                <w:szCs w:val="18"/>
              </w:rPr>
              <w:t xml:space="preserve"> as it gives processing times</w:t>
            </w:r>
          </w:p>
        </w:tc>
        <w:tc>
          <w:tcPr>
            <w:tcW w:w="2006" w:type="dxa"/>
            <w:shd w:val="clear" w:color="auto" w:fill="auto"/>
          </w:tcPr>
          <w:p w14:paraId="302CB2C5" w14:textId="335D8F1C" w:rsidR="00B70F67" w:rsidRPr="006C575B" w:rsidRDefault="00B70F67" w:rsidP="001D4893">
            <w:pPr>
              <w:pStyle w:val="Header"/>
              <w:rPr>
                <w:rFonts w:cs="Arial"/>
                <w:b w:val="0"/>
                <w:szCs w:val="18"/>
              </w:rPr>
            </w:pPr>
            <w:r w:rsidRPr="006C575B">
              <w:rPr>
                <w:rFonts w:cs="Arial" w:hint="eastAsia"/>
                <w:b w:val="0"/>
                <w:szCs w:val="18"/>
              </w:rPr>
              <w:t>Could be per UE</w:t>
            </w:r>
            <w:r w:rsidRPr="006C575B">
              <w:rPr>
                <w:rFonts w:cs="Arial"/>
                <w:b w:val="0"/>
                <w:szCs w:val="18"/>
              </w:rPr>
              <w:t xml:space="preserve"> as it is related to baseband.</w:t>
            </w:r>
          </w:p>
        </w:tc>
      </w:tr>
      <w:bookmarkEnd w:id="3"/>
    </w:tbl>
    <w:p w14:paraId="7D74F3F2" w14:textId="196893D6" w:rsidR="00CB6DD1" w:rsidRDefault="00CB6DD1" w:rsidP="00CB6DD1"/>
    <w:p w14:paraId="5BFC325C" w14:textId="53E8267C" w:rsidR="003E7681" w:rsidRDefault="003E7681" w:rsidP="00CB6DD1">
      <w:r>
        <w:t>In our understanding, RAN2 is asking for input from RAN1 only on the features highlighted as ‘</w:t>
      </w:r>
      <w:r w:rsidRPr="003E7681">
        <w:t>Not implemented due to FFS</w:t>
      </w:r>
      <w:r>
        <w:t>’.   These features are discussed below.</w:t>
      </w:r>
    </w:p>
    <w:p w14:paraId="4F6E9828" w14:textId="28BE18DC" w:rsidR="003E7681" w:rsidRDefault="003E7681" w:rsidP="003E7681">
      <w:pPr>
        <w:pStyle w:val="Caption"/>
        <w:keepNext/>
        <w:jc w:val="center"/>
      </w:pPr>
      <w:r>
        <w:t xml:space="preserve">Table </w:t>
      </w:r>
      <w:fldSimple w:instr=" SEQ Table \* ARABIC ">
        <w:r>
          <w:rPr>
            <w:noProof/>
          </w:rPr>
          <w:t>2</w:t>
        </w:r>
      </w:fldSimple>
      <w:r>
        <w:t>: UE features from document attached to 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37"/>
        <w:gridCol w:w="2862"/>
        <w:gridCol w:w="2864"/>
        <w:gridCol w:w="2866"/>
      </w:tblGrid>
      <w:tr w:rsidR="00AD0967" w:rsidRPr="00C81E1C" w14:paraId="29E352B5" w14:textId="77777777" w:rsidTr="003377E6">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DBE65" w14:textId="77777777" w:rsidR="00AD0967" w:rsidRPr="00B91695" w:rsidRDefault="00AD0967" w:rsidP="001D4893">
            <w:pPr>
              <w:pStyle w:val="Header"/>
              <w:rPr>
                <w:rFonts w:cs="Arial"/>
                <w:szCs w:val="18"/>
              </w:rPr>
            </w:pPr>
            <w:r w:rsidRPr="00B91695">
              <w:rPr>
                <w:rFonts w:cs="Arial" w:hint="eastAsia"/>
                <w:szCs w:val="18"/>
              </w:rPr>
              <w:t xml:space="preserve"># </w:t>
            </w:r>
            <w:r w:rsidRPr="00B91695">
              <w:rPr>
                <w:rFonts w:cs="Arial"/>
                <w:szCs w:val="18"/>
              </w:rPr>
              <w:t xml:space="preserve"> (in L1 feature list)</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366E0228" w14:textId="77777777" w:rsidR="00AD0967" w:rsidRPr="00B25ED4" w:rsidRDefault="00AD0967" w:rsidP="001D4893">
            <w:pPr>
              <w:pStyle w:val="Header"/>
              <w:rPr>
                <w:rFonts w:cs="Arial"/>
                <w:szCs w:val="18"/>
              </w:rPr>
            </w:pPr>
            <w:r w:rsidRPr="00B25ED4">
              <w:rPr>
                <w:rFonts w:cs="Arial"/>
                <w:szCs w:val="18"/>
              </w:rPr>
              <w:t>F</w:t>
            </w:r>
            <w:r w:rsidRPr="00B25ED4">
              <w:rPr>
                <w:rFonts w:cs="Arial" w:hint="eastAsia"/>
                <w:szCs w:val="18"/>
              </w:rPr>
              <w:t>eature (defined in 36.331)</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35558DBA" w14:textId="77777777" w:rsidR="00AD0967" w:rsidRPr="00B91695" w:rsidRDefault="00AD0967" w:rsidP="001D4893">
            <w:pPr>
              <w:pStyle w:val="Header"/>
              <w:rPr>
                <w:rFonts w:cs="Arial"/>
                <w:szCs w:val="18"/>
              </w:rPr>
            </w:pPr>
            <w:r w:rsidRPr="00B91695">
              <w:rPr>
                <w:rFonts w:cs="Arial"/>
                <w:szCs w:val="18"/>
              </w:rPr>
              <w:t xml:space="preserve">Proposed </w:t>
            </w:r>
            <w:r w:rsidRPr="00B91695">
              <w:rPr>
                <w:rFonts w:cs="Arial" w:hint="eastAsia"/>
                <w:szCs w:val="18"/>
              </w:rPr>
              <w:t>Signalling granularity:</w:t>
            </w:r>
          </w:p>
          <w:p w14:paraId="2E2AE034" w14:textId="77777777" w:rsidR="00AD0967" w:rsidRPr="00AD0967" w:rsidRDefault="00AD0967" w:rsidP="001D4893">
            <w:pPr>
              <w:pStyle w:val="Header"/>
              <w:rPr>
                <w:rFonts w:cs="Arial"/>
                <w:b w:val="0"/>
                <w:szCs w:val="18"/>
              </w:rPr>
            </w:pPr>
            <w:r w:rsidRPr="00AD0967">
              <w:rPr>
                <w:rFonts w:cs="Arial"/>
                <w:b w:val="0"/>
                <w:szCs w:val="18"/>
              </w:rPr>
              <w:t xml:space="preserve">1) </w:t>
            </w:r>
            <w:r w:rsidRPr="00AD0967">
              <w:rPr>
                <w:rFonts w:cs="Arial" w:hint="eastAsia"/>
                <w:b w:val="0"/>
                <w:szCs w:val="18"/>
              </w:rPr>
              <w:t>per UE</w:t>
            </w:r>
          </w:p>
          <w:p w14:paraId="3DE7F73E" w14:textId="77777777" w:rsidR="00AD0967" w:rsidRPr="00AD0967" w:rsidRDefault="00AD0967" w:rsidP="001D4893">
            <w:pPr>
              <w:pStyle w:val="Header"/>
              <w:rPr>
                <w:rFonts w:cs="Arial"/>
                <w:b w:val="0"/>
                <w:szCs w:val="18"/>
              </w:rPr>
            </w:pPr>
            <w:r w:rsidRPr="00AD0967">
              <w:rPr>
                <w:rFonts w:cs="Arial"/>
                <w:b w:val="0"/>
                <w:szCs w:val="18"/>
              </w:rPr>
              <w:t>2) per band outside band comb.</w:t>
            </w:r>
          </w:p>
          <w:p w14:paraId="0704E2E3" w14:textId="77777777" w:rsidR="00AD0967" w:rsidRPr="00AD0967" w:rsidRDefault="00AD0967" w:rsidP="001D4893">
            <w:pPr>
              <w:pStyle w:val="Header"/>
              <w:rPr>
                <w:rFonts w:cs="Arial"/>
                <w:b w:val="0"/>
                <w:szCs w:val="18"/>
              </w:rPr>
            </w:pPr>
            <w:r w:rsidRPr="00AD0967">
              <w:rPr>
                <w:rFonts w:cs="Arial"/>
                <w:b w:val="0"/>
                <w:szCs w:val="18"/>
              </w:rPr>
              <w:t xml:space="preserve">3) </w:t>
            </w:r>
            <w:r w:rsidRPr="00AD0967">
              <w:rPr>
                <w:rFonts w:cs="Arial" w:hint="eastAsia"/>
                <w:b w:val="0"/>
                <w:szCs w:val="18"/>
              </w:rPr>
              <w:t>per band comb.</w:t>
            </w:r>
          </w:p>
          <w:p w14:paraId="6180DE61" w14:textId="77777777" w:rsidR="00AD0967" w:rsidRPr="00AD0967" w:rsidRDefault="00AD0967" w:rsidP="001D4893">
            <w:pPr>
              <w:pStyle w:val="Header"/>
              <w:rPr>
                <w:rFonts w:cs="Arial"/>
                <w:b w:val="0"/>
                <w:szCs w:val="18"/>
              </w:rPr>
            </w:pPr>
            <w:r w:rsidRPr="00AD0967">
              <w:rPr>
                <w:rFonts w:cs="Arial"/>
                <w:b w:val="0"/>
                <w:szCs w:val="18"/>
              </w:rPr>
              <w:t xml:space="preserve">4) </w:t>
            </w:r>
            <w:r w:rsidRPr="00AD0967">
              <w:rPr>
                <w:rFonts w:cs="Arial" w:hint="eastAsia"/>
                <w:b w:val="0"/>
                <w:szCs w:val="18"/>
              </w:rPr>
              <w:t>per band per band comb</w:t>
            </w:r>
            <w:r w:rsidRPr="00AD0967">
              <w:rPr>
                <w:rFonts w:cs="Arial"/>
                <w:b w:val="0"/>
                <w:szCs w:val="18"/>
              </w:rPr>
              <w:t>.</w:t>
            </w:r>
          </w:p>
          <w:p w14:paraId="27E006C2" w14:textId="77777777" w:rsidR="00AD0967" w:rsidRPr="00AD0967" w:rsidRDefault="00AD0967" w:rsidP="001D4893">
            <w:pPr>
              <w:pStyle w:val="Header"/>
              <w:rPr>
                <w:rFonts w:cs="Arial"/>
                <w:szCs w:val="18"/>
              </w:rPr>
            </w:pPr>
            <w:r w:rsidRPr="00AD0967">
              <w:rPr>
                <w:rFonts w:cs="Arial"/>
                <w:b w:val="0"/>
                <w:szCs w:val="18"/>
              </w:rPr>
              <w:t xml:space="preserve">5) per CC </w:t>
            </w:r>
            <w:r w:rsidRPr="00AD0967">
              <w:rPr>
                <w:rFonts w:cs="Arial" w:hint="eastAsia"/>
                <w:b w:val="0"/>
                <w:szCs w:val="18"/>
              </w:rPr>
              <w:t xml:space="preserve">per </w:t>
            </w:r>
            <w:r w:rsidRPr="00AD0967">
              <w:rPr>
                <w:rFonts w:cs="Arial"/>
                <w:b w:val="0"/>
                <w:szCs w:val="18"/>
              </w:rPr>
              <w:t>band per band comb.</w:t>
            </w:r>
          </w:p>
        </w:tc>
        <w:tc>
          <w:tcPr>
            <w:tcW w:w="1488" w:type="pct"/>
            <w:tcBorders>
              <w:top w:val="single" w:sz="4" w:space="0" w:color="auto"/>
              <w:left w:val="single" w:sz="4" w:space="0" w:color="auto"/>
              <w:bottom w:val="single" w:sz="4" w:space="0" w:color="auto"/>
              <w:right w:val="single" w:sz="4" w:space="0" w:color="auto"/>
            </w:tcBorders>
          </w:tcPr>
          <w:p w14:paraId="586FF9F2" w14:textId="77777777" w:rsidR="00AD0967" w:rsidRPr="00AD0967" w:rsidRDefault="00AD0967" w:rsidP="001D4893">
            <w:pPr>
              <w:pStyle w:val="Header"/>
              <w:rPr>
                <w:rFonts w:cs="Arial"/>
                <w:szCs w:val="18"/>
              </w:rPr>
            </w:pPr>
            <w:r w:rsidRPr="00AD0967">
              <w:rPr>
                <w:rFonts w:cs="Arial"/>
                <w:szCs w:val="18"/>
              </w:rPr>
              <w:t>Ericsson Comments</w:t>
            </w:r>
          </w:p>
        </w:tc>
      </w:tr>
      <w:tr w:rsidR="00AD0967" w:rsidRPr="00A2545F" w14:paraId="4D8C7A65" w14:textId="0CDBDA9F" w:rsidTr="00C73771">
        <w:trPr>
          <w:trHeight w:val="525"/>
          <w:jc w:val="center"/>
        </w:trPr>
        <w:tc>
          <w:tcPr>
            <w:tcW w:w="539" w:type="pct"/>
            <w:shd w:val="clear" w:color="auto" w:fill="FFFFFF" w:themeFill="background1"/>
            <w:vAlign w:val="center"/>
          </w:tcPr>
          <w:p w14:paraId="23CFC3B8"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2-25</w:t>
            </w:r>
          </w:p>
        </w:tc>
        <w:tc>
          <w:tcPr>
            <w:tcW w:w="1486" w:type="pct"/>
            <w:shd w:val="clear" w:color="auto" w:fill="auto"/>
            <w:vAlign w:val="center"/>
          </w:tcPr>
          <w:p w14:paraId="74941D2B"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Beam reporting timing</w:t>
            </w:r>
          </w:p>
        </w:tc>
        <w:tc>
          <w:tcPr>
            <w:tcW w:w="1487" w:type="pct"/>
            <w:shd w:val="clear" w:color="auto" w:fill="CCECFF"/>
          </w:tcPr>
          <w:p w14:paraId="5FF98CF6" w14:textId="2A5BE89D" w:rsidR="00AD0967" w:rsidRPr="00CA4C8A" w:rsidRDefault="000D37AB" w:rsidP="001D4893">
            <w:pPr>
              <w:spacing w:after="0"/>
              <w:jc w:val="center"/>
              <w:rPr>
                <w:rFonts w:asciiTheme="majorHAnsi" w:hAnsiTheme="majorHAnsi" w:cstheme="majorHAnsi"/>
              </w:rPr>
            </w:pPr>
            <w:r>
              <w:rPr>
                <w:rFonts w:asciiTheme="majorHAnsi" w:hAnsiTheme="majorHAnsi" w:cstheme="majorHAnsi"/>
              </w:rPr>
              <w:t>1</w:t>
            </w:r>
          </w:p>
        </w:tc>
        <w:tc>
          <w:tcPr>
            <w:tcW w:w="1488" w:type="pct"/>
          </w:tcPr>
          <w:p w14:paraId="51F26D43" w14:textId="0263A2CA" w:rsidR="000D37AB" w:rsidRPr="00CA4C8A" w:rsidRDefault="000D37AB" w:rsidP="001D4893">
            <w:pPr>
              <w:spacing w:after="0"/>
              <w:rPr>
                <w:rFonts w:asciiTheme="majorHAnsi" w:hAnsiTheme="majorHAnsi" w:cstheme="majorHAnsi"/>
              </w:rPr>
            </w:pPr>
            <w:r>
              <w:rPr>
                <w:rFonts w:asciiTheme="majorHAnsi" w:hAnsiTheme="majorHAnsi" w:cstheme="majorHAnsi"/>
              </w:rPr>
              <w:t>UE capability is reported per SCS, so can be per UE.</w:t>
            </w:r>
          </w:p>
        </w:tc>
      </w:tr>
      <w:tr w:rsidR="00AD0967" w:rsidRPr="00A2545F" w14:paraId="0B914B02" w14:textId="70A1FA17"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EA49D"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2-28</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7FFDFED6"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A-CSI-RS beam switching timing</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684B8D6A" w14:textId="68C8F446" w:rsidR="00AD0967" w:rsidRPr="00CA4C8A" w:rsidRDefault="000D37AB" w:rsidP="001D4893">
            <w:pPr>
              <w:spacing w:after="0"/>
              <w:jc w:val="center"/>
              <w:rPr>
                <w:rFonts w:asciiTheme="majorHAnsi" w:hAnsiTheme="majorHAnsi" w:cstheme="majorHAnsi"/>
              </w:rPr>
            </w:pPr>
            <w:r>
              <w:rPr>
                <w:rFonts w:asciiTheme="majorHAnsi" w:hAnsiTheme="majorHAnsi" w:cstheme="majorHAnsi"/>
              </w:rPr>
              <w:t>1</w:t>
            </w:r>
          </w:p>
        </w:tc>
        <w:tc>
          <w:tcPr>
            <w:tcW w:w="1488" w:type="pct"/>
            <w:tcBorders>
              <w:top w:val="single" w:sz="4" w:space="0" w:color="auto"/>
              <w:left w:val="single" w:sz="4" w:space="0" w:color="auto"/>
              <w:bottom w:val="single" w:sz="4" w:space="0" w:color="auto"/>
              <w:right w:val="single" w:sz="4" w:space="0" w:color="auto"/>
            </w:tcBorders>
          </w:tcPr>
          <w:p w14:paraId="7DD65654" w14:textId="2086CA86" w:rsidR="00AD0967" w:rsidRPr="00CA4C8A" w:rsidRDefault="000D37AB" w:rsidP="001D4893">
            <w:pPr>
              <w:spacing w:after="0"/>
              <w:rPr>
                <w:rFonts w:asciiTheme="majorHAnsi" w:hAnsiTheme="majorHAnsi" w:cstheme="majorHAnsi"/>
              </w:rPr>
            </w:pPr>
            <w:r>
              <w:rPr>
                <w:rFonts w:asciiTheme="majorHAnsi" w:hAnsiTheme="majorHAnsi" w:cstheme="majorHAnsi"/>
              </w:rPr>
              <w:t>UE capability is reported per SCS, so can be per UE.</w:t>
            </w:r>
          </w:p>
        </w:tc>
      </w:tr>
      <w:tr w:rsidR="00AD0967" w:rsidRPr="00A2545F" w14:paraId="31C68A4A" w14:textId="69D889F0"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7241D"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2-33</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7A314DB7" w14:textId="77777777" w:rsidR="00AD0967" w:rsidRPr="00B25ED4" w:rsidDel="0031754F" w:rsidRDefault="00AD0967" w:rsidP="001D4893">
            <w:pPr>
              <w:spacing w:after="0"/>
              <w:rPr>
                <w:rFonts w:asciiTheme="majorHAnsi" w:hAnsiTheme="majorHAnsi" w:cstheme="majorHAnsi"/>
                <w:i/>
              </w:rPr>
            </w:pPr>
            <w:r w:rsidRPr="00B25ED4">
              <w:rPr>
                <w:rFonts w:asciiTheme="majorHAnsi" w:hAnsiTheme="majorHAnsi" w:cstheme="majorHAnsi"/>
                <w:i/>
              </w:rPr>
              <w:t>CSI-RS and CSI-IM reception for CSI feedback</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1AF90E2A" w14:textId="4BD421F4"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71718BC4" w14:textId="1AD7D39D"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1B16888D" w14:textId="6DAFD168"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AE0DA"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2-33a</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2BF0CDF5"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PDSCH RE-mapping</w:t>
            </w:r>
          </w:p>
          <w:p w14:paraId="501A03C6"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Note: this FG will be moved to 5-x family</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42491A99" w14:textId="106D5A9A" w:rsidR="00AD0967" w:rsidRPr="00CA4C8A" w:rsidRDefault="000D37AB" w:rsidP="001D4893">
            <w:pPr>
              <w:spacing w:after="0"/>
              <w:jc w:val="center"/>
              <w:rPr>
                <w:rFonts w:asciiTheme="majorHAnsi" w:hAnsiTheme="majorHAnsi" w:cstheme="majorHAnsi"/>
              </w:rPr>
            </w:pPr>
            <w:r>
              <w:rPr>
                <w:rFonts w:asciiTheme="majorHAnsi" w:hAnsiTheme="majorHAnsi" w:cstheme="majorHAnsi"/>
              </w:rPr>
              <w:t>1</w:t>
            </w:r>
          </w:p>
        </w:tc>
        <w:tc>
          <w:tcPr>
            <w:tcW w:w="1488" w:type="pct"/>
            <w:tcBorders>
              <w:top w:val="single" w:sz="4" w:space="0" w:color="auto"/>
              <w:left w:val="single" w:sz="4" w:space="0" w:color="auto"/>
              <w:bottom w:val="single" w:sz="4" w:space="0" w:color="auto"/>
              <w:right w:val="single" w:sz="4" w:space="0" w:color="auto"/>
            </w:tcBorders>
          </w:tcPr>
          <w:p w14:paraId="5ADC5615" w14:textId="1D1E59CC" w:rsidR="00AD0967" w:rsidRPr="00CA4C8A" w:rsidRDefault="000D37AB" w:rsidP="001D4893">
            <w:pPr>
              <w:spacing w:after="0"/>
              <w:rPr>
                <w:rFonts w:asciiTheme="majorHAnsi" w:hAnsiTheme="majorHAnsi" w:cstheme="majorHAnsi"/>
              </w:rPr>
            </w:pPr>
            <w:r>
              <w:rPr>
                <w:rFonts w:asciiTheme="majorHAnsi" w:hAnsiTheme="majorHAnsi" w:cstheme="majorHAnsi"/>
              </w:rPr>
              <w:t>Baseband capability; can be per UE</w:t>
            </w:r>
          </w:p>
        </w:tc>
      </w:tr>
      <w:tr w:rsidR="00AD0967" w:rsidRPr="00A2545F" w14:paraId="4299C82B" w14:textId="0AC654DB"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C2134"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2-35</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3F828D33"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 xml:space="preserve">CSI report framework </w:t>
            </w:r>
          </w:p>
          <w:p w14:paraId="0E6FB80B" w14:textId="77777777" w:rsidR="00AD0967" w:rsidRPr="00B25ED4" w:rsidRDefault="00AD0967" w:rsidP="001D4893">
            <w:pPr>
              <w:spacing w:after="0"/>
              <w:rPr>
                <w:rFonts w:asciiTheme="majorHAnsi" w:hAnsiTheme="majorHAnsi" w:cstheme="majorHAnsi"/>
                <w:i/>
              </w:rPr>
            </w:pP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2F775ED5" w14:textId="363D540D"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7C2097F2" w14:textId="36D97639"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1EE1F6F8" w14:textId="4B7E7F84"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ABF34"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lastRenderedPageBreak/>
              <w:t>2-36</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66A62087"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 xml:space="preserve">Type I single panel codebook </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23431CB9" w14:textId="6B588455"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76971C4E" w14:textId="6644175D"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2318BECE" w14:textId="3B001A66"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41483"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 2-40</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1003B910"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Type I multi-panel codebook</w:t>
            </w:r>
          </w:p>
          <w:p w14:paraId="79DF5B9F" w14:textId="77777777" w:rsidR="00AD0967" w:rsidRPr="00B25ED4" w:rsidRDefault="00AD0967" w:rsidP="001D4893">
            <w:pPr>
              <w:spacing w:after="0"/>
              <w:rPr>
                <w:rFonts w:asciiTheme="majorHAnsi" w:hAnsiTheme="majorHAnsi" w:cstheme="majorHAnsi"/>
                <w:i/>
              </w:rPr>
            </w:pP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180A6573" w14:textId="2DEC7C8D"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2C8A9777" w14:textId="1FE236E4"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438D8958" w14:textId="6CF66FA8"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179DD"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2-41</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271CBBC0"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 xml:space="preserve">Type II codebook </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4D199B92" w14:textId="2E890FD9"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75F94C07" w14:textId="61E02E0D"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1EEA7749" w14:textId="6D01BE5B"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94B50"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2-43</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3D9B2E2E"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Type II codebook with port selection</w:t>
            </w:r>
          </w:p>
          <w:p w14:paraId="054766B1" w14:textId="77777777" w:rsidR="00AD0967" w:rsidRPr="00B25ED4" w:rsidRDefault="00AD0967" w:rsidP="001D4893">
            <w:pPr>
              <w:spacing w:after="0"/>
              <w:rPr>
                <w:rFonts w:asciiTheme="majorHAnsi" w:hAnsiTheme="majorHAnsi" w:cstheme="majorHAnsi"/>
                <w:i/>
              </w:rPr>
            </w:pP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350E619C" w14:textId="659C841D"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65DEE4D3" w14:textId="60103097" w:rsidR="00AD0967" w:rsidRPr="00CA4C8A" w:rsidRDefault="00EF1C2D" w:rsidP="001D4893">
            <w:pPr>
              <w:spacing w:after="0"/>
              <w:rPr>
                <w:rFonts w:asciiTheme="majorHAnsi" w:hAnsiTheme="majorHAnsi" w:cstheme="majorHAnsi"/>
              </w:rPr>
            </w:pPr>
            <w:r>
              <w:rPr>
                <w:rFonts w:asciiTheme="majorHAnsi" w:hAnsiTheme="majorHAnsi" w:cstheme="majorHAnsi"/>
              </w:rPr>
              <w:t>Per band outside band combination, as the supported number of ports may be different per band</w:t>
            </w:r>
          </w:p>
        </w:tc>
      </w:tr>
      <w:tr w:rsidR="00AD0967" w:rsidRPr="00A2545F" w14:paraId="3B200EF4" w14:textId="09ED9D44"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C440E"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2-46</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4BBBBCF4"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Downlink PTRS density recommendation</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79153911" w14:textId="496F40AA" w:rsidR="00AD0967" w:rsidRPr="00CA4C8A" w:rsidRDefault="000D37AB" w:rsidP="001D4893">
            <w:pPr>
              <w:spacing w:after="0"/>
              <w:jc w:val="center"/>
              <w:rPr>
                <w:rFonts w:asciiTheme="majorHAnsi" w:hAnsiTheme="majorHAnsi" w:cstheme="majorHAnsi"/>
              </w:rPr>
            </w:pPr>
            <w:r>
              <w:rPr>
                <w:rFonts w:asciiTheme="majorHAnsi" w:hAnsiTheme="majorHAnsi" w:cstheme="majorHAnsi"/>
              </w:rPr>
              <w:t>1</w:t>
            </w:r>
          </w:p>
        </w:tc>
        <w:tc>
          <w:tcPr>
            <w:tcW w:w="1488" w:type="pct"/>
            <w:tcBorders>
              <w:top w:val="single" w:sz="4" w:space="0" w:color="auto"/>
              <w:left w:val="single" w:sz="4" w:space="0" w:color="auto"/>
              <w:bottom w:val="single" w:sz="4" w:space="0" w:color="auto"/>
              <w:right w:val="single" w:sz="4" w:space="0" w:color="auto"/>
            </w:tcBorders>
          </w:tcPr>
          <w:p w14:paraId="3ED31CC0" w14:textId="3A7F0151" w:rsidR="00AD0967" w:rsidRPr="00CA4C8A" w:rsidRDefault="006C62AC" w:rsidP="001D4893">
            <w:pPr>
              <w:spacing w:after="0"/>
              <w:rPr>
                <w:rFonts w:asciiTheme="majorHAnsi" w:hAnsiTheme="majorHAnsi" w:cstheme="majorHAnsi"/>
              </w:rPr>
            </w:pPr>
            <w:r>
              <w:rPr>
                <w:rFonts w:asciiTheme="majorHAnsi" w:hAnsiTheme="majorHAnsi" w:cstheme="majorHAnsi"/>
              </w:rPr>
              <w:t xml:space="preserve">Per </w:t>
            </w:r>
            <w:r w:rsidR="00AF3520">
              <w:rPr>
                <w:rFonts w:asciiTheme="majorHAnsi" w:hAnsiTheme="majorHAnsi" w:cstheme="majorHAnsi"/>
              </w:rPr>
              <w:t>UE</w:t>
            </w:r>
            <w:r w:rsidR="000D37AB">
              <w:rPr>
                <w:rFonts w:asciiTheme="majorHAnsi" w:hAnsiTheme="majorHAnsi" w:cstheme="majorHAnsi"/>
              </w:rPr>
              <w:t>; UE capability is reported per SCS</w:t>
            </w:r>
          </w:p>
        </w:tc>
      </w:tr>
      <w:tr w:rsidR="00AD0967" w:rsidRPr="00A2545F" w14:paraId="5C8DB054" w14:textId="32FDD7A9"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06C9F"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2-49</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4EF3D6A5"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Uplink PTRS density recommendation</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7FAA3630" w14:textId="7C44941E" w:rsidR="00AD0967" w:rsidRPr="00CA4C8A" w:rsidRDefault="000D37AB" w:rsidP="001D4893">
            <w:pPr>
              <w:spacing w:after="0"/>
              <w:jc w:val="center"/>
              <w:rPr>
                <w:rFonts w:asciiTheme="majorHAnsi" w:hAnsiTheme="majorHAnsi" w:cstheme="majorHAnsi"/>
              </w:rPr>
            </w:pPr>
            <w:r>
              <w:rPr>
                <w:rFonts w:asciiTheme="majorHAnsi" w:hAnsiTheme="majorHAnsi" w:cstheme="majorHAnsi"/>
              </w:rPr>
              <w:t>1</w:t>
            </w:r>
          </w:p>
        </w:tc>
        <w:tc>
          <w:tcPr>
            <w:tcW w:w="1488" w:type="pct"/>
            <w:tcBorders>
              <w:top w:val="single" w:sz="4" w:space="0" w:color="auto"/>
              <w:left w:val="single" w:sz="4" w:space="0" w:color="auto"/>
              <w:bottom w:val="single" w:sz="4" w:space="0" w:color="auto"/>
              <w:right w:val="single" w:sz="4" w:space="0" w:color="auto"/>
            </w:tcBorders>
          </w:tcPr>
          <w:p w14:paraId="3996F98C" w14:textId="31A6B16A" w:rsidR="00AD0967" w:rsidRPr="00CA4C8A" w:rsidRDefault="006C62AC" w:rsidP="001D4893">
            <w:pPr>
              <w:spacing w:after="0"/>
              <w:rPr>
                <w:rFonts w:asciiTheme="majorHAnsi" w:hAnsiTheme="majorHAnsi" w:cstheme="majorHAnsi"/>
              </w:rPr>
            </w:pPr>
            <w:r>
              <w:rPr>
                <w:rFonts w:asciiTheme="majorHAnsi" w:hAnsiTheme="majorHAnsi" w:cstheme="majorHAnsi"/>
              </w:rPr>
              <w:t xml:space="preserve">Per </w:t>
            </w:r>
            <w:r w:rsidR="00AF3520">
              <w:rPr>
                <w:rFonts w:asciiTheme="majorHAnsi" w:hAnsiTheme="majorHAnsi" w:cstheme="majorHAnsi"/>
              </w:rPr>
              <w:t>UE</w:t>
            </w:r>
            <w:r w:rsidR="000D37AB">
              <w:rPr>
                <w:rFonts w:asciiTheme="majorHAnsi" w:hAnsiTheme="majorHAnsi" w:cstheme="majorHAnsi"/>
              </w:rPr>
              <w:t>; UE capability is reported per SCS</w:t>
            </w:r>
          </w:p>
        </w:tc>
      </w:tr>
      <w:tr w:rsidR="00AD0967" w:rsidRPr="00A2545F" w14:paraId="151A1BC4" w14:textId="7BE78042"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E49E1"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2-51</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0DD5329B"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TRS</w:t>
            </w:r>
          </w:p>
          <w:p w14:paraId="47030D12"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(CSI-RS for tracking)</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23741F2F" w14:textId="76F91381" w:rsidR="00AD0967" w:rsidRPr="00CA4C8A" w:rsidRDefault="000D37AB" w:rsidP="001D4893">
            <w:pPr>
              <w:spacing w:after="0"/>
              <w:jc w:val="center"/>
              <w:rPr>
                <w:rFonts w:asciiTheme="majorHAnsi" w:hAnsiTheme="majorHAnsi" w:cstheme="majorHAnsi"/>
              </w:rPr>
            </w:pPr>
            <w:r>
              <w:rPr>
                <w:rFonts w:asciiTheme="majorHAnsi" w:hAnsiTheme="majorHAnsi" w:cstheme="majorHAnsi"/>
              </w:rPr>
              <w:t>2</w:t>
            </w:r>
          </w:p>
        </w:tc>
        <w:tc>
          <w:tcPr>
            <w:tcW w:w="1488" w:type="pct"/>
            <w:tcBorders>
              <w:top w:val="single" w:sz="4" w:space="0" w:color="auto"/>
              <w:left w:val="single" w:sz="4" w:space="0" w:color="auto"/>
              <w:bottom w:val="single" w:sz="4" w:space="0" w:color="auto"/>
              <w:right w:val="single" w:sz="4" w:space="0" w:color="auto"/>
            </w:tcBorders>
          </w:tcPr>
          <w:p w14:paraId="6E42C0FA" w14:textId="011A1CFC" w:rsidR="00AD0967" w:rsidRPr="00CA4C8A" w:rsidRDefault="000D37AB" w:rsidP="001D4893">
            <w:pPr>
              <w:spacing w:after="0"/>
              <w:rPr>
                <w:rFonts w:asciiTheme="majorHAnsi" w:hAnsiTheme="majorHAnsi" w:cstheme="majorHAnsi"/>
              </w:rPr>
            </w:pPr>
            <w:r>
              <w:rPr>
                <w:rFonts w:asciiTheme="majorHAnsi" w:hAnsiTheme="majorHAnsi" w:cstheme="majorHAnsi"/>
              </w:rPr>
              <w:t xml:space="preserve">Per UE; Capability is differentiated between FR1 and FR2. </w:t>
            </w:r>
          </w:p>
        </w:tc>
      </w:tr>
      <w:tr w:rsidR="00AD0967" w:rsidRPr="00A2545F" w14:paraId="0028FC47" w14:textId="0C2F3710"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0A199"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2-54</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20943477" w14:textId="77777777" w:rsidR="00AD0967" w:rsidRPr="00B25ED4" w:rsidRDefault="00AD0967" w:rsidP="001D4893">
            <w:pPr>
              <w:spacing w:after="0"/>
              <w:rPr>
                <w:rFonts w:asciiTheme="majorHAnsi" w:hAnsiTheme="majorHAnsi" w:cstheme="majorHAnsi"/>
                <w:i/>
              </w:rPr>
            </w:pPr>
            <w:r w:rsidRPr="00B25ED4">
              <w:rPr>
                <w:rFonts w:asciiTheme="majorHAnsi" w:hAnsiTheme="majorHAnsi" w:cstheme="majorHAnsi"/>
                <w:i/>
              </w:rPr>
              <w:t>SRS transmission</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13E45521" w14:textId="2F8ECC31" w:rsidR="00AD0967" w:rsidRPr="00CA4C8A" w:rsidRDefault="00B07D9A" w:rsidP="001D4893">
            <w:pPr>
              <w:spacing w:after="0"/>
              <w:jc w:val="center"/>
              <w:rPr>
                <w:rFonts w:asciiTheme="majorHAnsi" w:hAnsiTheme="majorHAnsi" w:cstheme="majorHAnsi"/>
              </w:rPr>
            </w:pPr>
            <w:r>
              <w:rPr>
                <w:rFonts w:asciiTheme="majorHAnsi" w:hAnsiTheme="majorHAnsi" w:cstheme="majorHAnsi"/>
              </w:rPr>
              <w:t>1</w:t>
            </w:r>
          </w:p>
        </w:tc>
        <w:tc>
          <w:tcPr>
            <w:tcW w:w="1488" w:type="pct"/>
            <w:tcBorders>
              <w:top w:val="single" w:sz="4" w:space="0" w:color="auto"/>
              <w:left w:val="single" w:sz="4" w:space="0" w:color="auto"/>
              <w:bottom w:val="single" w:sz="4" w:space="0" w:color="auto"/>
              <w:right w:val="single" w:sz="4" w:space="0" w:color="auto"/>
            </w:tcBorders>
          </w:tcPr>
          <w:p w14:paraId="1058DF6B" w14:textId="5D759964" w:rsidR="00AD0967" w:rsidRPr="00CA4C8A" w:rsidRDefault="00B07D9A" w:rsidP="001D4893">
            <w:pPr>
              <w:spacing w:after="0"/>
              <w:rPr>
                <w:rFonts w:asciiTheme="majorHAnsi" w:hAnsiTheme="majorHAnsi" w:cstheme="majorHAnsi"/>
              </w:rPr>
            </w:pPr>
            <w:r>
              <w:rPr>
                <w:rFonts w:asciiTheme="majorHAnsi" w:hAnsiTheme="majorHAnsi" w:cstheme="majorHAnsi"/>
              </w:rPr>
              <w:t>UE capability is reported per SCS, so can be per UE.</w:t>
            </w:r>
          </w:p>
        </w:tc>
      </w:tr>
      <w:tr w:rsidR="00AD0967" w:rsidRPr="00A2545F" w14:paraId="47900BC7" w14:textId="234D68AD" w:rsidTr="00C73771">
        <w:trPr>
          <w:trHeight w:val="525"/>
          <w:jc w:val="center"/>
        </w:trPr>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8D7B6" w14:textId="77777777" w:rsidR="00AD0967" w:rsidRPr="00B91695" w:rsidRDefault="00AD0967" w:rsidP="001D4893">
            <w:pPr>
              <w:spacing w:after="0"/>
              <w:rPr>
                <w:rFonts w:asciiTheme="majorHAnsi" w:hAnsiTheme="majorHAnsi" w:cstheme="majorHAnsi"/>
              </w:rPr>
            </w:pPr>
            <w:r w:rsidRPr="00B91695">
              <w:rPr>
                <w:rFonts w:asciiTheme="majorHAnsi" w:hAnsiTheme="majorHAnsi" w:cstheme="majorHAnsi"/>
              </w:rPr>
              <w:t>2-56</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654852A2" w14:textId="77777777" w:rsidR="00AD0967" w:rsidRPr="00B25ED4" w:rsidDel="00C67F42" w:rsidRDefault="00AD0967" w:rsidP="001D4893">
            <w:pPr>
              <w:spacing w:after="0"/>
              <w:rPr>
                <w:rFonts w:asciiTheme="majorHAnsi" w:hAnsiTheme="majorHAnsi" w:cstheme="majorHAnsi"/>
                <w:i/>
              </w:rPr>
            </w:pPr>
            <w:r w:rsidRPr="00B25ED4">
              <w:rPr>
                <w:rFonts w:asciiTheme="majorHAnsi" w:hAnsiTheme="majorHAnsi" w:cstheme="majorHAnsi"/>
                <w:i/>
              </w:rPr>
              <w:t>SRS carrier switch</w:t>
            </w:r>
          </w:p>
        </w:tc>
        <w:tc>
          <w:tcPr>
            <w:tcW w:w="1487" w:type="pct"/>
            <w:tcBorders>
              <w:top w:val="single" w:sz="4" w:space="0" w:color="auto"/>
              <w:left w:val="single" w:sz="4" w:space="0" w:color="auto"/>
              <w:bottom w:val="single" w:sz="4" w:space="0" w:color="auto"/>
              <w:right w:val="single" w:sz="4" w:space="0" w:color="auto"/>
            </w:tcBorders>
            <w:shd w:val="clear" w:color="auto" w:fill="CCECFF"/>
          </w:tcPr>
          <w:p w14:paraId="29A04554" w14:textId="77777777" w:rsidR="00AD0967" w:rsidRPr="00CA4C8A" w:rsidRDefault="00AD0967" w:rsidP="001D4893">
            <w:pPr>
              <w:spacing w:after="0"/>
              <w:jc w:val="center"/>
              <w:rPr>
                <w:rFonts w:asciiTheme="majorHAnsi" w:hAnsiTheme="majorHAnsi" w:cstheme="majorHAnsi"/>
              </w:rPr>
            </w:pPr>
          </w:p>
        </w:tc>
        <w:tc>
          <w:tcPr>
            <w:tcW w:w="1488" w:type="pct"/>
            <w:tcBorders>
              <w:top w:val="single" w:sz="4" w:space="0" w:color="auto"/>
              <w:left w:val="single" w:sz="4" w:space="0" w:color="auto"/>
              <w:bottom w:val="single" w:sz="4" w:space="0" w:color="auto"/>
              <w:right w:val="single" w:sz="4" w:space="0" w:color="auto"/>
            </w:tcBorders>
          </w:tcPr>
          <w:p w14:paraId="0C91A2DC" w14:textId="29066F5F" w:rsidR="00AD0967" w:rsidRPr="00CA4C8A" w:rsidRDefault="00AD0967" w:rsidP="001D4893">
            <w:pPr>
              <w:spacing w:after="0"/>
              <w:rPr>
                <w:rFonts w:asciiTheme="majorHAnsi" w:hAnsiTheme="majorHAnsi" w:cstheme="majorHAnsi"/>
              </w:rPr>
            </w:pPr>
          </w:p>
        </w:tc>
      </w:tr>
    </w:tbl>
    <w:p w14:paraId="09A0A03A" w14:textId="0D0B70AE" w:rsidR="008219AE" w:rsidRPr="00CB6DD1" w:rsidRDefault="008219AE" w:rsidP="00CB6DD1"/>
    <w:p w14:paraId="292636F0" w14:textId="21296A49" w:rsidR="00287838" w:rsidRPr="00A04F49" w:rsidRDefault="003E7681" w:rsidP="003E7681">
      <w:pPr>
        <w:pStyle w:val="Proposal"/>
      </w:pPr>
      <w:bookmarkStart w:id="4" w:name="_Toc513463239"/>
      <w:r>
        <w:t>The recommended s</w:t>
      </w:r>
      <w:r w:rsidRPr="003E7681">
        <w:t>ignalling granularity for the features</w:t>
      </w:r>
      <w:r>
        <w:t xml:space="preserve"> listed in Tables 1 and 2 above are used to define the UE capability signalling.</w:t>
      </w:r>
      <w:bookmarkEnd w:id="4"/>
    </w:p>
    <w:p w14:paraId="5300F849" w14:textId="77777777" w:rsidR="00C01F33" w:rsidRPr="00CE0424" w:rsidRDefault="00C01F33" w:rsidP="00CE0424">
      <w:pPr>
        <w:pStyle w:val="Heading1"/>
      </w:pPr>
      <w:r w:rsidRPr="00CE0424">
        <w:t>Conclusion</w:t>
      </w:r>
    </w:p>
    <w:p w14:paraId="7AFEA5AA" w14:textId="46E5B8D8" w:rsidR="006E1C82" w:rsidRDefault="008A18F8" w:rsidP="006E1C82">
      <w:pPr>
        <w:pStyle w:val="BodyText"/>
      </w:pPr>
      <w:r>
        <w:t xml:space="preserve">This contribution has discussed RAN2’s questions to </w:t>
      </w:r>
      <w:r w:rsidRPr="008219AE">
        <w:t>RAN1</w:t>
      </w:r>
      <w:r>
        <w:t xml:space="preserve"> in </w:t>
      </w:r>
      <w:r>
        <w:fldChar w:fldCharType="begin"/>
      </w:r>
      <w:r>
        <w:instrText xml:space="preserve"> REF _Ref513460350 \r \h  \* MERGEFORMAT </w:instrText>
      </w:r>
      <w:r>
        <w:fldChar w:fldCharType="separate"/>
      </w:r>
      <w:r>
        <w:t>[1]</w:t>
      </w:r>
      <w:r>
        <w:fldChar w:fldCharType="end"/>
      </w:r>
      <w:r>
        <w:t xml:space="preserve"> </w:t>
      </w:r>
      <w:r w:rsidRPr="008219AE">
        <w:t xml:space="preserve">on the </w:t>
      </w:r>
      <w:proofErr w:type="spellStart"/>
      <w:r w:rsidRPr="008219AE">
        <w:t>signalling</w:t>
      </w:r>
      <w:proofErr w:type="spellEnd"/>
      <w:r w:rsidRPr="008219AE">
        <w:t xml:space="preserve"> granularity for </w:t>
      </w:r>
      <w:r>
        <w:t xml:space="preserve">various UE </w:t>
      </w:r>
      <w:r w:rsidRPr="008219AE">
        <w:t>features</w:t>
      </w:r>
      <w:r>
        <w:t xml:space="preserve">.  Based on the discussion, </w:t>
      </w:r>
      <w:r w:rsidR="008E065E" w:rsidRPr="00CE0424">
        <w:t>we propose the following:</w:t>
      </w:r>
    </w:p>
    <w:p w14:paraId="70B46DDC" w14:textId="77777777" w:rsidR="00D404C7"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463239" w:history="1">
        <w:r w:rsidR="00D404C7" w:rsidRPr="00F56B3D">
          <w:rPr>
            <w:rStyle w:val="Hyperlink"/>
            <w:noProof/>
          </w:rPr>
          <w:t>Proposal 1</w:t>
        </w:r>
        <w:r w:rsidR="00D404C7">
          <w:rPr>
            <w:rFonts w:asciiTheme="minorHAnsi" w:eastAsiaTheme="minorEastAsia" w:hAnsiTheme="minorHAnsi"/>
            <w:b w:val="0"/>
            <w:noProof/>
            <w:lang w:eastAsia="en-US"/>
          </w:rPr>
          <w:tab/>
        </w:r>
        <w:r w:rsidR="00D404C7" w:rsidRPr="00F56B3D">
          <w:rPr>
            <w:rStyle w:val="Hyperlink"/>
            <w:noProof/>
          </w:rPr>
          <w:t>The recommended signalling granularity for the features listed in Tables 1 and 2 above are used to define the UE capability signalling.</w:t>
        </w:r>
      </w:hyperlink>
    </w:p>
    <w:p w14:paraId="5A1EB9E8" w14:textId="70290512" w:rsidR="006E1C82" w:rsidRPr="00CE0424" w:rsidRDefault="006E1C82" w:rsidP="006E1C82">
      <w:pPr>
        <w:pStyle w:val="BodyText"/>
        <w:rPr>
          <w:b/>
          <w:bCs/>
        </w:rPr>
      </w:pPr>
      <w:r>
        <w:rPr>
          <w:b/>
          <w:bCs/>
        </w:rPr>
        <w:fldChar w:fldCharType="end"/>
      </w:r>
      <w:r w:rsidRPr="00CE0424">
        <w:rPr>
          <w:b/>
          <w:bCs/>
        </w:rPr>
        <w:t xml:space="preserve"> </w:t>
      </w:r>
    </w:p>
    <w:p w14:paraId="7203AEF7" w14:textId="77777777" w:rsidR="00F507D1" w:rsidRPr="00CE0424" w:rsidRDefault="00F507D1" w:rsidP="00CE0424">
      <w:pPr>
        <w:pStyle w:val="Heading1"/>
      </w:pPr>
      <w:bookmarkStart w:id="5" w:name="_In-sequence_SDU_delivery"/>
      <w:bookmarkEnd w:id="5"/>
      <w:r w:rsidRPr="00CE0424">
        <w:t>References</w:t>
      </w:r>
    </w:p>
    <w:p w14:paraId="0034D3CC" w14:textId="1D3FCC23" w:rsidR="003A7EF3" w:rsidRPr="00CE0424" w:rsidRDefault="004F35D8" w:rsidP="00CE0424">
      <w:pPr>
        <w:pStyle w:val="Reference"/>
      </w:pPr>
      <w:bookmarkStart w:id="6" w:name="_Ref174151459"/>
      <w:bookmarkStart w:id="7" w:name="_Ref189809556"/>
      <w:bookmarkStart w:id="8" w:name="_Ref513460350"/>
      <w:r w:rsidRPr="004F35D8">
        <w:t>R1-1805813</w:t>
      </w:r>
      <w:r w:rsidR="005F3025" w:rsidRPr="00CE0424">
        <w:t xml:space="preserve">, </w:t>
      </w:r>
      <w:r>
        <w:t>‘</w:t>
      </w:r>
      <w:r w:rsidRPr="004F35D8">
        <w:t>LS on Type 3 UE capabilities</w:t>
      </w:r>
      <w:r>
        <w:t>’</w:t>
      </w:r>
      <w:r w:rsidR="005F3025" w:rsidRPr="00CE0424">
        <w:t xml:space="preserve">, </w:t>
      </w:r>
      <w:r>
        <w:t>RAN2</w:t>
      </w:r>
      <w:r w:rsidR="005F3025" w:rsidRPr="00CE0424">
        <w:t xml:space="preserve">, </w:t>
      </w:r>
      <w:r w:rsidRPr="004F35D8">
        <w:t>3GPP TSG RAN WG1 Meeting #93</w:t>
      </w:r>
      <w:r>
        <w:t xml:space="preserve">, </w:t>
      </w:r>
      <w:r w:rsidRPr="004F35D8">
        <w:t>Busan, Korea, May 21</w:t>
      </w:r>
      <w:r>
        <w:t>-</w:t>
      </w:r>
      <w:r w:rsidRPr="004F35D8">
        <w:t>25, 2018</w:t>
      </w:r>
      <w:bookmarkEnd w:id="6"/>
      <w:bookmarkEnd w:id="7"/>
      <w:bookmarkEnd w:id="8"/>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FC587" w14:textId="77777777" w:rsidR="00E20B8A" w:rsidRDefault="00E20B8A">
      <w:r>
        <w:separator/>
      </w:r>
    </w:p>
  </w:endnote>
  <w:endnote w:type="continuationSeparator" w:id="0">
    <w:p w14:paraId="2A964063" w14:textId="77777777" w:rsidR="00E20B8A" w:rsidRDefault="00E2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6E81AA26" w:rsidR="005E55A9" w:rsidRDefault="005E55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001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001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60A63" w14:textId="77777777" w:rsidR="00E20B8A" w:rsidRDefault="00E20B8A">
      <w:r>
        <w:separator/>
      </w:r>
    </w:p>
  </w:footnote>
  <w:footnote w:type="continuationSeparator" w:id="0">
    <w:p w14:paraId="482F09E8" w14:textId="77777777" w:rsidR="00E20B8A" w:rsidRDefault="00E2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E55A9" w:rsidRDefault="005E55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2DF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24B0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7AB"/>
    <w:rsid w:val="000D4797"/>
    <w:rsid w:val="000E0527"/>
    <w:rsid w:val="000E1E92"/>
    <w:rsid w:val="000F06D6"/>
    <w:rsid w:val="000F0EB1"/>
    <w:rsid w:val="000F1106"/>
    <w:rsid w:val="000F3BE9"/>
    <w:rsid w:val="000F3F6C"/>
    <w:rsid w:val="000F6DF3"/>
    <w:rsid w:val="001005FF"/>
    <w:rsid w:val="001062FB"/>
    <w:rsid w:val="001063E6"/>
    <w:rsid w:val="001075A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3D"/>
    <w:rsid w:val="00151E23"/>
    <w:rsid w:val="001526E0"/>
    <w:rsid w:val="001551B5"/>
    <w:rsid w:val="00165243"/>
    <w:rsid w:val="001659C1"/>
    <w:rsid w:val="00173A8E"/>
    <w:rsid w:val="00174A14"/>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893"/>
    <w:rsid w:val="001D51BA"/>
    <w:rsid w:val="001D53E7"/>
    <w:rsid w:val="001D6342"/>
    <w:rsid w:val="001D6D53"/>
    <w:rsid w:val="001E58E2"/>
    <w:rsid w:val="001E7AED"/>
    <w:rsid w:val="001F2F57"/>
    <w:rsid w:val="001F3916"/>
    <w:rsid w:val="001F523F"/>
    <w:rsid w:val="001F54C5"/>
    <w:rsid w:val="001F662C"/>
    <w:rsid w:val="001F7074"/>
    <w:rsid w:val="00200490"/>
    <w:rsid w:val="00201F3A"/>
    <w:rsid w:val="002024DE"/>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BD8"/>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01FD"/>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7E6"/>
    <w:rsid w:val="00342BD7"/>
    <w:rsid w:val="00346DB5"/>
    <w:rsid w:val="003477B1"/>
    <w:rsid w:val="00357380"/>
    <w:rsid w:val="003602D9"/>
    <w:rsid w:val="003604CE"/>
    <w:rsid w:val="00370E47"/>
    <w:rsid w:val="003742AC"/>
    <w:rsid w:val="00377CE1"/>
    <w:rsid w:val="003826DC"/>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018"/>
    <w:rsid w:val="003E55E4"/>
    <w:rsid w:val="003E74E3"/>
    <w:rsid w:val="003E7681"/>
    <w:rsid w:val="003F05C7"/>
    <w:rsid w:val="003F2CD4"/>
    <w:rsid w:val="003F6BBE"/>
    <w:rsid w:val="004000E8"/>
    <w:rsid w:val="00402E2B"/>
    <w:rsid w:val="0040512B"/>
    <w:rsid w:val="00405CA5"/>
    <w:rsid w:val="00406F49"/>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5C"/>
    <w:rsid w:val="004669E2"/>
    <w:rsid w:val="00470C31"/>
    <w:rsid w:val="00471DE0"/>
    <w:rsid w:val="004734D0"/>
    <w:rsid w:val="0047556B"/>
    <w:rsid w:val="00477768"/>
    <w:rsid w:val="0048451C"/>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5D8"/>
    <w:rsid w:val="004F4DA3"/>
    <w:rsid w:val="00506557"/>
    <w:rsid w:val="0050677A"/>
    <w:rsid w:val="005108D8"/>
    <w:rsid w:val="005116F9"/>
    <w:rsid w:val="00513A32"/>
    <w:rsid w:val="005153A7"/>
    <w:rsid w:val="005219CF"/>
    <w:rsid w:val="00534B59"/>
    <w:rsid w:val="00536759"/>
    <w:rsid w:val="00537C62"/>
    <w:rsid w:val="00546970"/>
    <w:rsid w:val="00554E19"/>
    <w:rsid w:val="0056121F"/>
    <w:rsid w:val="0057001C"/>
    <w:rsid w:val="00572505"/>
    <w:rsid w:val="00582809"/>
    <w:rsid w:val="00583F74"/>
    <w:rsid w:val="0058798C"/>
    <w:rsid w:val="005900FA"/>
    <w:rsid w:val="005906E1"/>
    <w:rsid w:val="005935A4"/>
    <w:rsid w:val="005948C2"/>
    <w:rsid w:val="00595DCA"/>
    <w:rsid w:val="0059779B"/>
    <w:rsid w:val="005A209A"/>
    <w:rsid w:val="005A2A22"/>
    <w:rsid w:val="005A662D"/>
    <w:rsid w:val="005B0556"/>
    <w:rsid w:val="005B1409"/>
    <w:rsid w:val="005B2D79"/>
    <w:rsid w:val="005B35D7"/>
    <w:rsid w:val="005B392A"/>
    <w:rsid w:val="005B3AA3"/>
    <w:rsid w:val="005B6F83"/>
    <w:rsid w:val="005C74FB"/>
    <w:rsid w:val="005D07BE"/>
    <w:rsid w:val="005D1602"/>
    <w:rsid w:val="005E385F"/>
    <w:rsid w:val="005E55A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B8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75B"/>
    <w:rsid w:val="006C5EC9"/>
    <w:rsid w:val="006C6059"/>
    <w:rsid w:val="006C62AC"/>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86D"/>
    <w:rsid w:val="007348B1"/>
    <w:rsid w:val="007362A6"/>
    <w:rsid w:val="00736D7D"/>
    <w:rsid w:val="00740E58"/>
    <w:rsid w:val="007445A0"/>
    <w:rsid w:val="0074524B"/>
    <w:rsid w:val="00747D8B"/>
    <w:rsid w:val="00751228"/>
    <w:rsid w:val="00756F7D"/>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391"/>
    <w:rsid w:val="007B3D2D"/>
    <w:rsid w:val="007B50AE"/>
    <w:rsid w:val="007B51DF"/>
    <w:rsid w:val="007C05DD"/>
    <w:rsid w:val="007C3D18"/>
    <w:rsid w:val="007C60BF"/>
    <w:rsid w:val="007C6A07"/>
    <w:rsid w:val="007C75A1"/>
    <w:rsid w:val="007C77A5"/>
    <w:rsid w:val="007D04E5"/>
    <w:rsid w:val="007D2DFB"/>
    <w:rsid w:val="007D5901"/>
    <w:rsid w:val="007D7526"/>
    <w:rsid w:val="007E4610"/>
    <w:rsid w:val="007E4715"/>
    <w:rsid w:val="007E505B"/>
    <w:rsid w:val="007E7091"/>
    <w:rsid w:val="00803FAE"/>
    <w:rsid w:val="0080605F"/>
    <w:rsid w:val="00807786"/>
    <w:rsid w:val="00811FCB"/>
    <w:rsid w:val="008158D6"/>
    <w:rsid w:val="00817196"/>
    <w:rsid w:val="008219AE"/>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155"/>
    <w:rsid w:val="008941E3"/>
    <w:rsid w:val="00894A88"/>
    <w:rsid w:val="00895386"/>
    <w:rsid w:val="008A18F8"/>
    <w:rsid w:val="008A21FF"/>
    <w:rsid w:val="008A2CE2"/>
    <w:rsid w:val="008A30AC"/>
    <w:rsid w:val="008A44B8"/>
    <w:rsid w:val="008A51A8"/>
    <w:rsid w:val="008A54C7"/>
    <w:rsid w:val="008A58D5"/>
    <w:rsid w:val="008A77D8"/>
    <w:rsid w:val="008B0483"/>
    <w:rsid w:val="008B120C"/>
    <w:rsid w:val="008B51A0"/>
    <w:rsid w:val="008B592A"/>
    <w:rsid w:val="008B7B5C"/>
    <w:rsid w:val="008C09FD"/>
    <w:rsid w:val="008C0C99"/>
    <w:rsid w:val="008C2017"/>
    <w:rsid w:val="008C4958"/>
    <w:rsid w:val="008C4BAA"/>
    <w:rsid w:val="008C6AE8"/>
    <w:rsid w:val="008C7573"/>
    <w:rsid w:val="008D00A5"/>
    <w:rsid w:val="008D34F1"/>
    <w:rsid w:val="008D39D8"/>
    <w:rsid w:val="008D6297"/>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BC9"/>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5B6"/>
    <w:rsid w:val="00AB0BC8"/>
    <w:rsid w:val="00AB0F66"/>
    <w:rsid w:val="00AB11CA"/>
    <w:rsid w:val="00AB14D9"/>
    <w:rsid w:val="00AB4AB8"/>
    <w:rsid w:val="00AB655E"/>
    <w:rsid w:val="00AC007F"/>
    <w:rsid w:val="00AC2ECD"/>
    <w:rsid w:val="00AC3119"/>
    <w:rsid w:val="00AC49FB"/>
    <w:rsid w:val="00AC5A10"/>
    <w:rsid w:val="00AD0967"/>
    <w:rsid w:val="00AD0AA3"/>
    <w:rsid w:val="00AD2ED0"/>
    <w:rsid w:val="00AD3F94"/>
    <w:rsid w:val="00AD4A5A"/>
    <w:rsid w:val="00AE27AC"/>
    <w:rsid w:val="00AE40E0"/>
    <w:rsid w:val="00AE4DBA"/>
    <w:rsid w:val="00AE4F07"/>
    <w:rsid w:val="00AF1C5D"/>
    <w:rsid w:val="00AF3520"/>
    <w:rsid w:val="00AF42D7"/>
    <w:rsid w:val="00B006FE"/>
    <w:rsid w:val="00B007CB"/>
    <w:rsid w:val="00B02AA9"/>
    <w:rsid w:val="00B02FA3"/>
    <w:rsid w:val="00B05084"/>
    <w:rsid w:val="00B07D9A"/>
    <w:rsid w:val="00B157F9"/>
    <w:rsid w:val="00B17179"/>
    <w:rsid w:val="00B20256"/>
    <w:rsid w:val="00B20D09"/>
    <w:rsid w:val="00B25ED4"/>
    <w:rsid w:val="00B2763F"/>
    <w:rsid w:val="00B27AAC"/>
    <w:rsid w:val="00B30929"/>
    <w:rsid w:val="00B32112"/>
    <w:rsid w:val="00B372AA"/>
    <w:rsid w:val="00B40445"/>
    <w:rsid w:val="00B409E0"/>
    <w:rsid w:val="00B41888"/>
    <w:rsid w:val="00B45A52"/>
    <w:rsid w:val="00B46175"/>
    <w:rsid w:val="00B548B7"/>
    <w:rsid w:val="00B664C7"/>
    <w:rsid w:val="00B70F67"/>
    <w:rsid w:val="00B739F6"/>
    <w:rsid w:val="00B81A6C"/>
    <w:rsid w:val="00B85DE5"/>
    <w:rsid w:val="00B90F73"/>
    <w:rsid w:val="00B91695"/>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710"/>
    <w:rsid w:val="00C72EF4"/>
    <w:rsid w:val="00C73771"/>
    <w:rsid w:val="00C744FE"/>
    <w:rsid w:val="00C75D2F"/>
    <w:rsid w:val="00C767BE"/>
    <w:rsid w:val="00C76E3C"/>
    <w:rsid w:val="00C81568"/>
    <w:rsid w:val="00C9027A"/>
    <w:rsid w:val="00C9068E"/>
    <w:rsid w:val="00C93814"/>
    <w:rsid w:val="00C93C4B"/>
    <w:rsid w:val="00C944AB"/>
    <w:rsid w:val="00C95B40"/>
    <w:rsid w:val="00CA1ED8"/>
    <w:rsid w:val="00CB1F63"/>
    <w:rsid w:val="00CB6DD1"/>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C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FFB"/>
    <w:rsid w:val="00DF0B6E"/>
    <w:rsid w:val="00DF15E0"/>
    <w:rsid w:val="00DF37A0"/>
    <w:rsid w:val="00E110E7"/>
    <w:rsid w:val="00E11B20"/>
    <w:rsid w:val="00E17FA2"/>
    <w:rsid w:val="00E20B8A"/>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995"/>
    <w:rsid w:val="00E94F8A"/>
    <w:rsid w:val="00EA7A41"/>
    <w:rsid w:val="00EB077B"/>
    <w:rsid w:val="00EB4EA2"/>
    <w:rsid w:val="00EC24D5"/>
    <w:rsid w:val="00EC27C6"/>
    <w:rsid w:val="00EC4207"/>
    <w:rsid w:val="00EC5653"/>
    <w:rsid w:val="00EC71CE"/>
    <w:rsid w:val="00ED1006"/>
    <w:rsid w:val="00ED4FA5"/>
    <w:rsid w:val="00EF18FE"/>
    <w:rsid w:val="00EF1C2D"/>
    <w:rsid w:val="00EF5787"/>
    <w:rsid w:val="00EF60D0"/>
    <w:rsid w:val="00F0528D"/>
    <w:rsid w:val="00F06C67"/>
    <w:rsid w:val="00F06DFD"/>
    <w:rsid w:val="00F071D1"/>
    <w:rsid w:val="00F07533"/>
    <w:rsid w:val="00F10629"/>
    <w:rsid w:val="00F15FA5"/>
    <w:rsid w:val="00F209B7"/>
    <w:rsid w:val="00F234A4"/>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01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700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001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C7271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EB6E7-1DFB-4BA8-8138-9037C01A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1214</Words>
  <Characters>6425</Characters>
  <Application>Microsoft Office Word</Application>
  <DocSecurity>0</DocSecurity>
  <Lines>108</Lines>
  <Paragraphs>53</Paragraphs>
  <ScaleCrop>false</ScaleCrop>
  <Company/>
  <LinksUpToDate>false</LinksUpToDate>
  <CharactersWithSpaces>7586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2018-05-11T22:11:00Z</dcterms:created>
  <dcterms:modified xsi:type="dcterms:W3CDTF">2018-05-11T22:11:00Z</dcterms:modified>
  <cp:category/>
</cp:coreProperties>
</file>